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Override PartName="/word/footer8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8.xml" ContentType="application/vnd.openxmlformats-officedocument.wordprocessingml.header+xml"/>
  <Default Extension="docx" ContentType="application/vnd.openxmlformats-officedocument.wordprocessingml.document"/>
  <Default Extension="ppt" ContentType="application/vnd.ms-powerpoi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Default Extension="doc" ContentType="application/msword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tabs>
          <w:tab w:val="left" w:pos="1260"/>
          <w:tab w:val="left" w:pos="1350"/>
          <w:tab w:val="left" w:pos="3420"/>
        </w:tabs>
        <w:autoSpaceDE w:val="0"/>
        <w:autoSpaceDN w:val="0"/>
        <w:adjustRightInd w:val="0"/>
        <w:jc w:val="center"/>
        <w:rPr>
          <w:rFonts w:ascii="Calibri" w:hAnsi="Calibri"/>
          <w:b/>
          <w:color w:val="000000"/>
          <w:sz w:val="32"/>
          <w:szCs w:val="32"/>
        </w:rPr>
      </w:pPr>
      <w:r>
        <w:rPr>
          <w:rFonts w:ascii="Calibri" w:hAnsi="Calibri"/>
          <w:b/>
          <w:color w:val="000000"/>
          <w:sz w:val="32"/>
          <w:szCs w:val="32"/>
        </w:rPr>
        <w:t>BCABA ANNUAL PROGRAM - AGENDA AND MATERIALS</w:t>
      </w:r>
    </w:p>
    <w:p>
      <w:pPr>
        <w:tabs>
          <w:tab w:val="left" w:pos="1260"/>
          <w:tab w:val="left" w:pos="1350"/>
          <w:tab w:val="left" w:pos="3420"/>
        </w:tabs>
        <w:autoSpaceDE w:val="0"/>
        <w:autoSpaceDN w:val="0"/>
        <w:adjustRightInd w:val="0"/>
        <w:jc w:val="center"/>
        <w:rPr>
          <w:rFonts w:ascii="Calibri" w:hAnsi="Calibri"/>
          <w:b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32"/>
          <w:szCs w:val="32"/>
        </w:rPr>
        <w:t>October 15, 2014</w:t>
      </w:r>
    </w:p>
    <w:p>
      <w:pPr>
        <w:tabs>
          <w:tab w:val="left" w:pos="1260"/>
          <w:tab w:val="left" w:pos="1350"/>
          <w:tab w:val="left" w:pos="3420"/>
        </w:tabs>
        <w:autoSpaceDE w:val="0"/>
        <w:autoSpaceDN w:val="0"/>
        <w:adjustRightInd w:val="0"/>
        <w:spacing w:before="120"/>
        <w:rPr>
          <w:rFonts w:ascii="Calibri" w:hAnsi="Calibri"/>
          <w:b/>
          <w:bCs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>8:15 - 8:50</w:t>
      </w:r>
      <w:r>
        <w:rPr>
          <w:rFonts w:ascii="Calibri" w:hAnsi="Calibri"/>
          <w:b/>
          <w:color w:val="000000"/>
          <w:sz w:val="22"/>
          <w:szCs w:val="22"/>
        </w:rPr>
        <w:tab/>
      </w:r>
      <w:r>
        <w:rPr>
          <w:rFonts w:ascii="Calibri" w:hAnsi="Calibri"/>
          <w:b/>
          <w:bCs/>
          <w:color w:val="000000"/>
          <w:sz w:val="22"/>
          <w:szCs w:val="22"/>
        </w:rPr>
        <w:t>Registration, Breakfast and Networking</w:t>
      </w:r>
    </w:p>
    <w:p>
      <w:pPr>
        <w:tabs>
          <w:tab w:val="left" w:pos="1260"/>
          <w:tab w:val="left" w:pos="1350"/>
          <w:tab w:val="left" w:pos="3420"/>
        </w:tabs>
        <w:autoSpaceDE w:val="0"/>
        <w:autoSpaceDN w:val="0"/>
        <w:adjustRightInd w:val="0"/>
        <w:spacing w:before="120"/>
        <w:rPr>
          <w:rFonts w:ascii="Calibri" w:hAnsi="Calibri"/>
          <w:b/>
          <w:bCs/>
          <w:color w:val="000000"/>
          <w:sz w:val="22"/>
          <w:szCs w:val="22"/>
        </w:rPr>
      </w:pPr>
    </w:p>
    <w:p>
      <w:pPr>
        <w:tabs>
          <w:tab w:val="left" w:pos="1260"/>
          <w:tab w:val="left" w:pos="1350"/>
          <w:tab w:val="left" w:pos="3420"/>
          <w:tab w:val="left" w:pos="4140"/>
        </w:tabs>
        <w:autoSpaceDE w:val="0"/>
        <w:autoSpaceDN w:val="0"/>
        <w:adjustRightInd w:val="0"/>
        <w:ind w:left="1260" w:hanging="1260"/>
        <w:rPr>
          <w:rFonts w:ascii="Calibri" w:hAnsi="Calibri"/>
          <w:b/>
          <w:bCs/>
          <w:color w:val="000000"/>
          <w:sz w:val="22"/>
          <w:szCs w:val="22"/>
        </w:rPr>
      </w:pPr>
      <w:r>
        <w:rPr>
          <w:rFonts w:ascii="Calibri" w:hAnsi="Calibri"/>
          <w:b/>
          <w:bCs/>
          <w:color w:val="000000"/>
          <w:sz w:val="22"/>
          <w:szCs w:val="22"/>
        </w:rPr>
        <w:t>8:50 - 9:00</w:t>
      </w:r>
      <w:r>
        <w:rPr>
          <w:rFonts w:ascii="Calibri" w:hAnsi="Calibri"/>
          <w:b/>
          <w:bCs/>
          <w:color w:val="000000"/>
          <w:sz w:val="22"/>
          <w:szCs w:val="22"/>
        </w:rPr>
        <w:tab/>
        <w:t>Welcoming Remarks:</w:t>
      </w:r>
      <w:r>
        <w:rPr>
          <w:rFonts w:ascii="Calibri" w:hAnsi="Calibri"/>
          <w:b/>
          <w:bCs/>
          <w:color w:val="000000"/>
          <w:sz w:val="22"/>
          <w:szCs w:val="22"/>
        </w:rPr>
        <w:tab/>
        <w:t>Judge Gary E. Shapiro</w:t>
      </w:r>
      <w:r>
        <w:rPr>
          <w:rFonts w:ascii="Calibri" w:hAnsi="Calibri"/>
          <w:bCs/>
          <w:color w:val="000000"/>
          <w:sz w:val="22"/>
          <w:szCs w:val="22"/>
        </w:rPr>
        <w:t xml:space="preserve">, PSBCA; President, BCABA  </w:t>
      </w:r>
      <w:r>
        <w:rPr>
          <w:rFonts w:ascii="Calibri" w:hAnsi="Calibri"/>
          <w:b/>
          <w:bCs/>
          <w:color w:val="000000"/>
          <w:sz w:val="22"/>
          <w:szCs w:val="22"/>
        </w:rPr>
        <w:br/>
      </w:r>
      <w:r>
        <w:rPr>
          <w:rFonts w:ascii="Calibri" w:hAnsi="Calibri"/>
          <w:b/>
          <w:bCs/>
          <w:color w:val="000000"/>
          <w:sz w:val="22"/>
          <w:szCs w:val="22"/>
        </w:rPr>
        <w:tab/>
      </w:r>
      <w:r>
        <w:rPr>
          <w:rFonts w:ascii="Calibri" w:hAnsi="Calibri"/>
          <w:b/>
          <w:bCs/>
          <w:color w:val="000000"/>
          <w:sz w:val="22"/>
          <w:szCs w:val="22"/>
        </w:rPr>
        <w:tab/>
        <w:t>Kristen E. Ittig</w:t>
      </w:r>
      <w:r>
        <w:rPr>
          <w:rFonts w:ascii="Calibri" w:hAnsi="Calibri"/>
          <w:bCs/>
          <w:color w:val="000000"/>
          <w:sz w:val="22"/>
          <w:szCs w:val="22"/>
        </w:rPr>
        <w:t>, Arnold &amp; Porter LLP;</w:t>
      </w:r>
      <w:r>
        <w:rPr>
          <w:rFonts w:ascii="Calibri" w:hAnsi="Calibri"/>
          <w:b/>
          <w:bCs/>
          <w:color w:val="000000"/>
          <w:sz w:val="22"/>
          <w:szCs w:val="22"/>
        </w:rPr>
        <w:t xml:space="preserve"> </w:t>
      </w:r>
      <w:r>
        <w:rPr>
          <w:rFonts w:ascii="Calibri" w:hAnsi="Calibri"/>
          <w:bCs/>
          <w:color w:val="000000"/>
          <w:sz w:val="22"/>
          <w:szCs w:val="22"/>
        </w:rPr>
        <w:t>Vice-President and Program Chair, BCABA</w:t>
      </w:r>
    </w:p>
    <w:p>
      <w:pPr>
        <w:tabs>
          <w:tab w:val="left" w:pos="1080"/>
          <w:tab w:val="left" w:pos="1980"/>
          <w:tab w:val="left" w:pos="3420"/>
          <w:tab w:val="left" w:pos="4140"/>
        </w:tabs>
        <w:autoSpaceDE w:val="0"/>
        <w:autoSpaceDN w:val="0"/>
        <w:adjustRightInd w:val="0"/>
        <w:rPr>
          <w:rFonts w:ascii="Calibri" w:hAnsi="Calibri"/>
          <w:b/>
          <w:bCs/>
          <w:color w:val="000000"/>
          <w:sz w:val="22"/>
          <w:szCs w:val="22"/>
        </w:rPr>
      </w:pPr>
    </w:p>
    <w:p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 w:val="0"/>
          <w:sz w:val="22"/>
          <w:szCs w:val="22"/>
        </w:rPr>
      </w:pPr>
      <w:r>
        <w:rPr>
          <w:rStyle w:val="Strong"/>
          <w:rFonts w:ascii="Calibri" w:hAnsi="Calibri"/>
          <w:bCs w:val="0"/>
          <w:color w:val="000000"/>
          <w:sz w:val="22"/>
          <w:szCs w:val="22"/>
        </w:rPr>
        <w:t xml:space="preserve">9:00 - 10:15 </w:t>
      </w:r>
      <w:r>
        <w:rPr>
          <w:rStyle w:val="Strong"/>
          <w:rFonts w:ascii="Calibri" w:hAnsi="Calibri"/>
          <w:bCs w:val="0"/>
          <w:color w:val="000000"/>
          <w:sz w:val="22"/>
          <w:szCs w:val="22"/>
        </w:rPr>
        <w:tab/>
      </w:r>
      <w:r>
        <w:rPr>
          <w:rFonts w:ascii="Calibri" w:hAnsi="Calibri"/>
          <w:b/>
          <w:sz w:val="22"/>
          <w:szCs w:val="22"/>
        </w:rPr>
        <w:t>COURT OF FEDERAL CLAIMS AND FEDERAL CIRCUIT DECISIONS: RECENT DEVELOPMENTS</w:t>
      </w:r>
    </w:p>
    <w:p>
      <w:pPr>
        <w:tabs>
          <w:tab w:val="left" w:pos="1260"/>
        </w:tabs>
        <w:ind w:left="1260" w:hanging="1260"/>
        <w:rPr>
          <w:rFonts w:ascii="Calibri" w:hAnsi="Calibri"/>
          <w:bCs/>
          <w:sz w:val="22"/>
          <w:szCs w:val="22"/>
        </w:rPr>
      </w:pPr>
      <w:r>
        <w:rPr>
          <w:rFonts w:ascii="Calibri" w:hAnsi="Calibri"/>
          <w:bCs/>
          <w:sz w:val="22"/>
          <w:szCs w:val="22"/>
        </w:rPr>
        <w:tab/>
        <w:t xml:space="preserve">Panelists will discuss significant contract decisions from the Court of Federal Claims and the Federal Circuit in the past year. </w:t>
      </w:r>
    </w:p>
    <w:p>
      <w:pPr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22"/>
          <w:szCs w:val="22"/>
        </w:rPr>
      </w:pPr>
      <w:r>
        <w:rPr>
          <w:rStyle w:val="Strong"/>
          <w:rFonts w:ascii="Calibri" w:hAnsi="Calibri"/>
          <w:bCs w:val="0"/>
          <w:color w:val="000000"/>
          <w:sz w:val="22"/>
          <w:szCs w:val="22"/>
        </w:rPr>
        <w:tab/>
        <w:t>Moderator: Judge Carol Park-Conroy (ASBCA, Ret.) JAMS</w:t>
      </w:r>
      <w:r>
        <w:rPr>
          <w:rStyle w:val="Strong"/>
          <w:rFonts w:ascii="Calibri" w:hAnsi="Calibri"/>
          <w:bCs w:val="0"/>
          <w:color w:val="000000"/>
          <w:sz w:val="22"/>
          <w:szCs w:val="22"/>
        </w:rPr>
        <w:tab/>
      </w:r>
    </w:p>
    <w:p>
      <w:pPr>
        <w:tabs>
          <w:tab w:val="left" w:pos="1260"/>
        </w:tabs>
        <w:ind w:left="1260" w:hanging="1260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b/>
          <w:bCs/>
          <w:sz w:val="22"/>
          <w:szCs w:val="22"/>
        </w:rPr>
        <w:tab/>
        <w:t>Panelists:</w:t>
      </w:r>
      <w:r>
        <w:rPr>
          <w:rFonts w:ascii="Calibri" w:hAnsi="Calibri"/>
          <w:color w:val="000000"/>
          <w:sz w:val="22"/>
          <w:szCs w:val="22"/>
        </w:rPr>
        <w:t xml:space="preserve"> </w:t>
      </w:r>
      <w:r>
        <w:rPr>
          <w:rFonts w:ascii="Calibri" w:hAnsi="Calibri"/>
          <w:b/>
          <w:color w:val="000000"/>
          <w:sz w:val="22"/>
          <w:szCs w:val="22"/>
        </w:rPr>
        <w:t>Stan Johnson</w:t>
      </w:r>
      <w:r>
        <w:rPr>
          <w:rFonts w:ascii="Calibri" w:hAnsi="Calibri"/>
          <w:color w:val="000000"/>
          <w:sz w:val="22"/>
          <w:szCs w:val="22"/>
        </w:rPr>
        <w:t xml:space="preserve">, Crowell &amp; Moring LLP; </w:t>
      </w:r>
      <w:r>
        <w:rPr>
          <w:rFonts w:ascii="Calibri" w:hAnsi="Calibri"/>
          <w:b/>
          <w:color w:val="000000"/>
          <w:sz w:val="22"/>
          <w:szCs w:val="22"/>
        </w:rPr>
        <w:t>Ralph Nash</w:t>
      </w:r>
      <w:r>
        <w:rPr>
          <w:rFonts w:ascii="Calibri" w:hAnsi="Calibri"/>
          <w:color w:val="000000"/>
          <w:sz w:val="22"/>
          <w:szCs w:val="22"/>
        </w:rPr>
        <w:t xml:space="preserve">, George Washington University School of Law; </w:t>
      </w:r>
      <w:r>
        <w:rPr>
          <w:rFonts w:ascii="Calibri" w:hAnsi="Calibri"/>
          <w:b/>
          <w:color w:val="000000"/>
          <w:sz w:val="22"/>
          <w:szCs w:val="22"/>
        </w:rPr>
        <w:t>Neil O’Donnell</w:t>
      </w:r>
      <w:r>
        <w:rPr>
          <w:rFonts w:ascii="Calibri" w:hAnsi="Calibri"/>
          <w:color w:val="000000"/>
          <w:sz w:val="22"/>
          <w:szCs w:val="22"/>
        </w:rPr>
        <w:t xml:space="preserve">, Rogers Joseph O’Donnell, PC; </w:t>
      </w:r>
      <w:r>
        <w:rPr>
          <w:rFonts w:ascii="Calibri" w:hAnsi="Calibri"/>
          <w:b/>
          <w:color w:val="000000"/>
          <w:sz w:val="22"/>
          <w:szCs w:val="22"/>
        </w:rPr>
        <w:t>Bryant Snee</w:t>
      </w:r>
      <w:r>
        <w:rPr>
          <w:rFonts w:ascii="Calibri" w:hAnsi="Calibri"/>
          <w:color w:val="000000"/>
          <w:sz w:val="22"/>
          <w:szCs w:val="22"/>
        </w:rPr>
        <w:t>, United States Department of Justice, Civil Division</w:t>
      </w:r>
    </w:p>
    <w:p>
      <w:pPr>
        <w:tabs>
          <w:tab w:val="left" w:pos="1260"/>
        </w:tabs>
        <w:ind w:left="1260" w:hanging="1260"/>
        <w:rPr>
          <w:rFonts w:ascii="Calibri" w:hAnsi="Calibri"/>
          <w:sz w:val="22"/>
          <w:szCs w:val="22"/>
        </w:rPr>
      </w:pPr>
    </w:p>
    <w:p>
      <w:pPr>
        <w:pStyle w:val="NormalWeb"/>
        <w:tabs>
          <w:tab w:val="left" w:pos="1260"/>
        </w:tabs>
        <w:ind w:left="1260" w:hanging="1260"/>
        <w:rPr>
          <w:rFonts w:ascii="Calibri" w:hAnsi="Calibri"/>
          <w:b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>10:15 - 10:30</w:t>
      </w:r>
      <w:r>
        <w:rPr>
          <w:rFonts w:ascii="Calibri" w:hAnsi="Calibri"/>
          <w:b/>
          <w:color w:val="000000"/>
          <w:sz w:val="22"/>
          <w:szCs w:val="22"/>
        </w:rPr>
        <w:tab/>
        <w:t>NETWORKING COFFEE BREAK</w:t>
      </w:r>
    </w:p>
    <w:p>
      <w:pPr>
        <w:pStyle w:val="NormalWeb"/>
        <w:tabs>
          <w:tab w:val="left" w:pos="1260"/>
        </w:tabs>
        <w:ind w:left="1260" w:hanging="1260"/>
        <w:rPr>
          <w:rFonts w:ascii="Calibri" w:hAnsi="Calibri"/>
          <w:b/>
          <w:color w:val="000000"/>
          <w:sz w:val="22"/>
          <w:szCs w:val="22"/>
        </w:rPr>
      </w:pPr>
    </w:p>
    <w:p>
      <w:pPr>
        <w:pStyle w:val="NormalWeb"/>
        <w:tabs>
          <w:tab w:val="left" w:pos="1260"/>
        </w:tabs>
        <w:ind w:left="1260" w:hanging="1260"/>
        <w:rPr>
          <w:rFonts w:ascii="Calibri" w:hAnsi="Calibri"/>
          <w:sz w:val="22"/>
          <w:szCs w:val="22"/>
        </w:rPr>
      </w:pPr>
      <w:r>
        <w:rPr>
          <w:rStyle w:val="Strong"/>
          <w:rFonts w:ascii="Calibri" w:hAnsi="Calibri"/>
          <w:bCs w:val="0"/>
          <w:color w:val="000000"/>
          <w:sz w:val="22"/>
          <w:szCs w:val="22"/>
        </w:rPr>
        <w:t xml:space="preserve">10:30 - 11:30 </w:t>
      </w:r>
      <w:r>
        <w:rPr>
          <w:rStyle w:val="Strong"/>
          <w:rFonts w:ascii="Calibri" w:hAnsi="Calibri"/>
          <w:bCs w:val="0"/>
          <w:color w:val="000000"/>
          <w:sz w:val="22"/>
          <w:szCs w:val="22"/>
        </w:rPr>
        <w:tab/>
        <w:t xml:space="preserve">REGULATORY UPDATE: WHAT YOU NEED TO KNOW ABOUT THE EVER-CHANGING REGULATORY LANDSCAPE </w:t>
      </w:r>
      <w:r>
        <w:rPr>
          <w:rStyle w:val="Strong"/>
          <w:rFonts w:ascii="Calibri" w:hAnsi="Calibri"/>
          <w:bCs w:val="0"/>
          <w:color w:val="000000"/>
          <w:sz w:val="22"/>
          <w:szCs w:val="22"/>
        </w:rPr>
        <w:br/>
      </w:r>
      <w:r>
        <w:rPr>
          <w:rFonts w:ascii="Calibri" w:hAnsi="Calibri"/>
          <w:sz w:val="22"/>
          <w:szCs w:val="22"/>
        </w:rPr>
        <w:t xml:space="preserve">The panel will discuss the recent regulatory updates of which government contracts practitioners should be aware. </w:t>
      </w:r>
    </w:p>
    <w:p>
      <w:pPr>
        <w:tabs>
          <w:tab w:val="left" w:pos="1260"/>
        </w:tabs>
        <w:ind w:left="1260" w:hanging="126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ab/>
      </w:r>
      <w:r>
        <w:rPr>
          <w:rStyle w:val="Strong"/>
          <w:rFonts w:ascii="Calibri" w:hAnsi="Calibri"/>
          <w:bCs w:val="0"/>
          <w:color w:val="000000"/>
          <w:sz w:val="22"/>
          <w:szCs w:val="22"/>
        </w:rPr>
        <w:t>Panelists: Kara Sacilotto, Wiley Rein LLP; Craig Smith</w:t>
      </w:r>
      <w:r>
        <w:rPr>
          <w:rStyle w:val="Strong"/>
          <w:rFonts w:ascii="Calibri" w:hAnsi="Calibri"/>
          <w:bCs w:val="0"/>
          <w:i/>
          <w:color w:val="000000"/>
          <w:sz w:val="22"/>
          <w:szCs w:val="22"/>
        </w:rPr>
        <w:t xml:space="preserve">, </w:t>
      </w:r>
      <w:r>
        <w:rPr>
          <w:rStyle w:val="Strong"/>
          <w:rFonts w:ascii="Calibri" w:hAnsi="Calibri"/>
          <w:bCs w:val="0"/>
          <w:color w:val="000000"/>
          <w:sz w:val="22"/>
          <w:szCs w:val="22"/>
        </w:rPr>
        <w:t>Wiley Rein LLP</w:t>
      </w:r>
    </w:p>
    <w:p>
      <w:pPr>
        <w:pStyle w:val="PlainText"/>
        <w:tabs>
          <w:tab w:val="left" w:pos="1260"/>
        </w:tabs>
        <w:ind w:left="1260" w:hanging="1260"/>
        <w:rPr>
          <w:rFonts w:ascii="Calibri" w:hAnsi="Calibri"/>
          <w:sz w:val="22"/>
          <w:szCs w:val="22"/>
        </w:rPr>
      </w:pPr>
      <w:r>
        <w:rPr>
          <w:rStyle w:val="Strong"/>
          <w:rFonts w:ascii="Calibri" w:hAnsi="Calibri"/>
          <w:bCs w:val="0"/>
          <w:color w:val="000000"/>
          <w:sz w:val="22"/>
          <w:szCs w:val="22"/>
        </w:rPr>
        <w:tab/>
      </w:r>
    </w:p>
    <w:p>
      <w:pPr>
        <w:tabs>
          <w:tab w:val="left" w:pos="1260"/>
        </w:tabs>
        <w:ind w:left="1260" w:hanging="1260"/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 xml:space="preserve">11:30-12:30 </w:t>
      </w:r>
      <w:r>
        <w:rPr>
          <w:rFonts w:ascii="Calibri" w:hAnsi="Calibri"/>
          <w:b/>
          <w:sz w:val="22"/>
          <w:szCs w:val="22"/>
        </w:rPr>
        <w:tab/>
        <w:t>THE CIVIL FALSE CLAIMS ACT</w:t>
      </w:r>
    </w:p>
    <w:p>
      <w:pPr>
        <w:tabs>
          <w:tab w:val="left" w:pos="1260"/>
        </w:tabs>
        <w:ind w:left="1260" w:hanging="1260"/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ab/>
      </w:r>
      <w:r>
        <w:rPr>
          <w:rFonts w:ascii="Calibri" w:hAnsi="Calibri"/>
          <w:sz w:val="22"/>
          <w:szCs w:val="22"/>
        </w:rPr>
        <w:t>This panel will address investigations and settlement in cases where the alleged misconduct is both a breach of contract and a violation of the civil False Claims Act.</w:t>
      </w:r>
    </w:p>
    <w:p>
      <w:pPr>
        <w:tabs>
          <w:tab w:val="left" w:pos="1260"/>
        </w:tabs>
        <w:ind w:left="1260" w:hanging="1260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ab/>
        <w:t>Moderator: Richard O. Duvall</w:t>
      </w:r>
      <w:r>
        <w:rPr>
          <w:rFonts w:ascii="Calibri" w:hAnsi="Calibri"/>
          <w:sz w:val="22"/>
          <w:szCs w:val="22"/>
        </w:rPr>
        <w:t>, Holland &amp; Knight LLP</w:t>
      </w:r>
    </w:p>
    <w:p>
      <w:pPr>
        <w:tabs>
          <w:tab w:val="left" w:pos="1260"/>
        </w:tabs>
        <w:ind w:left="1260" w:hanging="126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ab/>
      </w:r>
      <w:r>
        <w:rPr>
          <w:rFonts w:ascii="Calibri" w:hAnsi="Calibri"/>
          <w:b/>
          <w:sz w:val="22"/>
          <w:szCs w:val="22"/>
        </w:rPr>
        <w:t>Panelists: Colette Matzzie</w:t>
      </w:r>
      <w:r>
        <w:rPr>
          <w:rFonts w:ascii="Calibri" w:hAnsi="Calibri"/>
          <w:sz w:val="22"/>
          <w:szCs w:val="22"/>
        </w:rPr>
        <w:t xml:space="preserve">, Phillips &amp; Cohen; </w:t>
      </w:r>
      <w:r>
        <w:rPr>
          <w:rFonts w:ascii="Calibri" w:hAnsi="Calibri"/>
          <w:b/>
          <w:sz w:val="22"/>
          <w:szCs w:val="22"/>
        </w:rPr>
        <w:t>Brian Miller</w:t>
      </w:r>
      <w:r>
        <w:rPr>
          <w:rFonts w:ascii="Calibri" w:hAnsi="Calibri"/>
          <w:sz w:val="22"/>
          <w:szCs w:val="22"/>
        </w:rPr>
        <w:t>, Navigant;</w:t>
      </w:r>
      <w:r>
        <w:rPr>
          <w:rFonts w:ascii="Calibri" w:hAnsi="Calibri"/>
          <w:i/>
          <w:sz w:val="22"/>
          <w:szCs w:val="22"/>
        </w:rPr>
        <w:t xml:space="preserve"> </w:t>
      </w:r>
      <w:r>
        <w:rPr>
          <w:rFonts w:ascii="Calibri" w:hAnsi="Calibri"/>
          <w:b/>
          <w:sz w:val="22"/>
          <w:szCs w:val="22"/>
        </w:rPr>
        <w:t>Jennifer Short</w:t>
      </w:r>
      <w:r>
        <w:rPr>
          <w:rFonts w:ascii="Calibri" w:hAnsi="Calibri"/>
          <w:sz w:val="22"/>
          <w:szCs w:val="22"/>
        </w:rPr>
        <w:t>, U.S. Attorney’s Office for the District of Columbia</w:t>
      </w:r>
    </w:p>
    <w:p>
      <w:pPr>
        <w:pStyle w:val="NormalWeb"/>
        <w:tabs>
          <w:tab w:val="left" w:pos="1080"/>
        </w:tabs>
        <w:ind w:left="1440"/>
        <w:rPr>
          <w:rFonts w:ascii="Calibri" w:hAnsi="Calibri"/>
          <w:bCs/>
          <w:color w:val="000000"/>
          <w:sz w:val="22"/>
          <w:szCs w:val="22"/>
        </w:rPr>
      </w:pPr>
      <w:bookmarkStart w:id="0" w:name="_GoBack"/>
      <w:bookmarkEnd w:id="0"/>
    </w:p>
    <w:p>
      <w:pPr>
        <w:pStyle w:val="NormalWeb"/>
        <w:tabs>
          <w:tab w:val="left" w:pos="1260"/>
          <w:tab w:val="left" w:pos="1440"/>
        </w:tabs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 xml:space="preserve">12:30 - 1:30 </w:t>
      </w:r>
      <w:r>
        <w:rPr>
          <w:rFonts w:ascii="Calibri" w:hAnsi="Calibri"/>
          <w:b/>
          <w:sz w:val="22"/>
          <w:szCs w:val="22"/>
        </w:rPr>
        <w:tab/>
        <w:t>LUNCHEON</w:t>
      </w:r>
    </w:p>
    <w:p>
      <w:pPr>
        <w:pStyle w:val="NormalWeb"/>
        <w:tabs>
          <w:tab w:val="left" w:pos="1260"/>
        </w:tabs>
        <w:ind w:left="1260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Keynote Speaker</w:t>
      </w:r>
      <w:r>
        <w:rPr>
          <w:rFonts w:ascii="Calibri" w:hAnsi="Calibri"/>
          <w:sz w:val="22"/>
          <w:szCs w:val="22"/>
        </w:rPr>
        <w:t xml:space="preserve">: </w:t>
      </w:r>
      <w:r>
        <w:rPr>
          <w:rFonts w:ascii="Calibri" w:hAnsi="Calibri"/>
          <w:b/>
          <w:sz w:val="22"/>
          <w:szCs w:val="22"/>
        </w:rPr>
        <w:t>The Honorable</w:t>
      </w:r>
      <w:r>
        <w:rPr>
          <w:rFonts w:ascii="Calibri" w:hAnsi="Calibri"/>
          <w:sz w:val="22"/>
          <w:szCs w:val="22"/>
        </w:rPr>
        <w:t xml:space="preserve"> </w:t>
      </w:r>
      <w:r>
        <w:rPr>
          <w:rFonts w:ascii="Calibri" w:hAnsi="Calibri"/>
          <w:b/>
          <w:sz w:val="22"/>
          <w:szCs w:val="22"/>
        </w:rPr>
        <w:t>Anne Rung</w:t>
      </w:r>
      <w:r>
        <w:rPr>
          <w:rFonts w:ascii="Calibri" w:hAnsi="Calibri"/>
          <w:sz w:val="22"/>
          <w:szCs w:val="22"/>
        </w:rPr>
        <w:t>, Administrator for Federal Procurement Policy</w:t>
      </w:r>
    </w:p>
    <w:p>
      <w:pPr>
        <w:pStyle w:val="NormalWeb"/>
        <w:tabs>
          <w:tab w:val="left" w:pos="1080"/>
        </w:tabs>
        <w:rPr>
          <w:rFonts w:ascii="Calibri" w:hAnsi="Calibri"/>
          <w:b/>
          <w:sz w:val="22"/>
          <w:szCs w:val="22"/>
        </w:rPr>
      </w:pPr>
    </w:p>
    <w:p>
      <w:pPr>
        <w:pStyle w:val="NormalWeb"/>
        <w:tabs>
          <w:tab w:val="left" w:pos="1260"/>
        </w:tabs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1:30 - 2:30</w:t>
      </w:r>
      <w:r>
        <w:rPr>
          <w:rFonts w:ascii="Calibri" w:hAnsi="Calibri"/>
          <w:b/>
          <w:sz w:val="22"/>
          <w:szCs w:val="22"/>
        </w:rPr>
        <w:tab/>
        <w:t>ETHICS IN GOVERNMENT CONTRACTS</w:t>
      </w:r>
    </w:p>
    <w:p>
      <w:pPr>
        <w:pStyle w:val="NormalWeb"/>
        <w:tabs>
          <w:tab w:val="left" w:pos="1260"/>
        </w:tabs>
        <w:ind w:left="1260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Panelists: Ron Schechter</w:t>
      </w:r>
      <w:r>
        <w:rPr>
          <w:rFonts w:ascii="Calibri" w:hAnsi="Calibri"/>
          <w:sz w:val="22"/>
          <w:szCs w:val="22"/>
        </w:rPr>
        <w:t xml:space="preserve">, Arnold &amp; Porter LLP; </w:t>
      </w:r>
      <w:r>
        <w:rPr>
          <w:rFonts w:ascii="Calibri" w:hAnsi="Calibri"/>
          <w:b/>
          <w:sz w:val="22"/>
          <w:szCs w:val="22"/>
        </w:rPr>
        <w:t>David Weber</w:t>
      </w:r>
      <w:r>
        <w:rPr>
          <w:rFonts w:ascii="Calibri" w:hAnsi="Calibri"/>
          <w:sz w:val="22"/>
          <w:szCs w:val="22"/>
        </w:rPr>
        <w:t>, Arnold &amp; Porter LLP</w:t>
      </w:r>
    </w:p>
    <w:p>
      <w:pPr>
        <w:pStyle w:val="NormalWeb"/>
        <w:tabs>
          <w:tab w:val="left" w:pos="1260"/>
        </w:tabs>
        <w:rPr>
          <w:rFonts w:ascii="Calibri" w:hAnsi="Calibri"/>
          <w:b/>
          <w:sz w:val="22"/>
          <w:szCs w:val="22"/>
        </w:rPr>
      </w:pPr>
    </w:p>
    <w:p>
      <w:pPr>
        <w:pStyle w:val="NormalWeb"/>
        <w:tabs>
          <w:tab w:val="left" w:pos="1260"/>
        </w:tabs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2:30 - 2:45</w:t>
      </w:r>
      <w:r>
        <w:rPr>
          <w:rFonts w:ascii="Calibri" w:hAnsi="Calibri"/>
          <w:b/>
          <w:sz w:val="22"/>
          <w:szCs w:val="22"/>
        </w:rPr>
        <w:tab/>
        <w:t>NETWORKING COFFEE BREAK</w:t>
      </w:r>
    </w:p>
    <w:p>
      <w:pPr>
        <w:pStyle w:val="NormalWeb"/>
        <w:tabs>
          <w:tab w:val="left" w:pos="1260"/>
        </w:tabs>
        <w:rPr>
          <w:rFonts w:ascii="Calibri" w:hAnsi="Calibri"/>
          <w:b/>
          <w:sz w:val="22"/>
          <w:szCs w:val="22"/>
        </w:rPr>
      </w:pPr>
    </w:p>
    <w:p>
      <w:pPr>
        <w:pStyle w:val="NormalWeb"/>
        <w:tabs>
          <w:tab w:val="left" w:pos="1260"/>
        </w:tabs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2:45 - 3:45</w:t>
      </w:r>
      <w:r>
        <w:rPr>
          <w:rFonts w:ascii="Calibri" w:hAnsi="Calibri"/>
          <w:b/>
          <w:sz w:val="22"/>
          <w:szCs w:val="22"/>
        </w:rPr>
        <w:tab/>
        <w:t>KEY BCA DECISIONS: THE YEAR IN REVIEW</w:t>
      </w:r>
    </w:p>
    <w:p>
      <w:pPr>
        <w:pStyle w:val="NormalWeb"/>
        <w:tabs>
          <w:tab w:val="left" w:pos="1260"/>
        </w:tabs>
        <w:ind w:left="1260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 xml:space="preserve">Panelists: Lucas </w:t>
      </w:r>
      <w:proofErr w:type="spellStart"/>
      <w:r>
        <w:rPr>
          <w:rFonts w:ascii="Calibri" w:hAnsi="Calibri"/>
          <w:b/>
          <w:sz w:val="22"/>
          <w:szCs w:val="22"/>
        </w:rPr>
        <w:t>Hanback</w:t>
      </w:r>
      <w:proofErr w:type="spellEnd"/>
      <w:r>
        <w:rPr>
          <w:rFonts w:ascii="Calibri" w:hAnsi="Calibri"/>
          <w:sz w:val="22"/>
          <w:szCs w:val="22"/>
        </w:rPr>
        <w:t xml:space="preserve">, </w:t>
      </w:r>
      <w:r>
        <w:rPr>
          <w:rFonts w:ascii="Calibri" w:hAnsi="Calibri"/>
          <w:color w:val="000000"/>
          <w:sz w:val="22"/>
          <w:szCs w:val="22"/>
        </w:rPr>
        <w:t>Rogers Joseph O’Donnell, PC;</w:t>
      </w:r>
      <w:r>
        <w:rPr>
          <w:rFonts w:ascii="Calibri" w:hAnsi="Calibri"/>
          <w:sz w:val="22"/>
          <w:szCs w:val="22"/>
        </w:rPr>
        <w:t xml:space="preserve"> </w:t>
      </w:r>
      <w:r>
        <w:rPr>
          <w:rFonts w:ascii="Calibri" w:hAnsi="Calibri"/>
          <w:b/>
          <w:sz w:val="22"/>
          <w:szCs w:val="22"/>
        </w:rPr>
        <w:t>Heidi Osterhout</w:t>
      </w:r>
      <w:r>
        <w:rPr>
          <w:rFonts w:ascii="Calibri" w:hAnsi="Calibri"/>
          <w:sz w:val="22"/>
          <w:szCs w:val="22"/>
        </w:rPr>
        <w:t>,</w:t>
      </w:r>
      <w:r>
        <w:rPr>
          <w:rFonts w:ascii="Calibri" w:hAnsi="Calibri"/>
          <w:color w:val="000000"/>
          <w:sz w:val="22"/>
          <w:szCs w:val="22"/>
        </w:rPr>
        <w:t xml:space="preserve"> United States Department of Justice, Commercial Litigation Branch</w:t>
      </w:r>
      <w:r>
        <w:rPr>
          <w:rFonts w:ascii="Calibri" w:hAnsi="Calibri"/>
          <w:sz w:val="22"/>
          <w:szCs w:val="22"/>
        </w:rPr>
        <w:t xml:space="preserve">; </w:t>
      </w:r>
      <w:r>
        <w:rPr>
          <w:rFonts w:ascii="Calibri" w:hAnsi="Calibri"/>
          <w:b/>
          <w:sz w:val="22"/>
          <w:szCs w:val="22"/>
        </w:rPr>
        <w:t>Skye Mathieson</w:t>
      </w:r>
      <w:r>
        <w:rPr>
          <w:rFonts w:ascii="Calibri" w:hAnsi="Calibri"/>
          <w:sz w:val="22"/>
          <w:szCs w:val="22"/>
        </w:rPr>
        <w:t xml:space="preserve">, Crowell &amp; Moring LLP; </w:t>
      </w:r>
      <w:r>
        <w:rPr>
          <w:rFonts w:ascii="Calibri" w:hAnsi="Calibri"/>
          <w:b/>
          <w:sz w:val="22"/>
          <w:szCs w:val="22"/>
        </w:rPr>
        <w:t>Tara Ward</w:t>
      </w:r>
      <w:r>
        <w:rPr>
          <w:rFonts w:ascii="Calibri" w:hAnsi="Calibri"/>
          <w:sz w:val="22"/>
          <w:szCs w:val="22"/>
        </w:rPr>
        <w:t>, Wiley Rein LLP</w:t>
      </w:r>
    </w:p>
    <w:p>
      <w:pPr>
        <w:pStyle w:val="NormalWeb"/>
        <w:tabs>
          <w:tab w:val="left" w:pos="1260"/>
        </w:tabs>
        <w:rPr>
          <w:rFonts w:ascii="Calibri" w:hAnsi="Calibri"/>
          <w:b/>
          <w:sz w:val="22"/>
          <w:szCs w:val="22"/>
        </w:rPr>
      </w:pPr>
    </w:p>
    <w:p>
      <w:pPr>
        <w:pStyle w:val="NormalWeb"/>
        <w:tabs>
          <w:tab w:val="left" w:pos="1260"/>
        </w:tabs>
        <w:rPr>
          <w:rFonts w:ascii="Calibri" w:hAnsi="Calibri"/>
          <w:b/>
          <w:caps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3:45 - 4:45</w:t>
      </w:r>
      <w:r>
        <w:rPr>
          <w:rFonts w:ascii="Calibri" w:hAnsi="Calibri"/>
          <w:b/>
          <w:sz w:val="22"/>
          <w:szCs w:val="22"/>
        </w:rPr>
        <w:tab/>
      </w:r>
      <w:r>
        <w:rPr>
          <w:rStyle w:val="Strong"/>
          <w:rFonts w:ascii="Calibri" w:hAnsi="Calibri"/>
          <w:bCs w:val="0"/>
          <w:color w:val="000000"/>
          <w:sz w:val="22"/>
          <w:szCs w:val="22"/>
        </w:rPr>
        <w:t xml:space="preserve">BCA </w:t>
      </w:r>
      <w:r>
        <w:rPr>
          <w:rStyle w:val="Strong"/>
          <w:rFonts w:ascii="Calibri" w:hAnsi="Calibri"/>
          <w:bCs w:val="0"/>
          <w:caps/>
          <w:color w:val="000000"/>
          <w:sz w:val="22"/>
          <w:szCs w:val="22"/>
        </w:rPr>
        <w:t>Judges Panel</w:t>
      </w:r>
      <w:r>
        <w:rPr>
          <w:rStyle w:val="Strong"/>
          <w:rFonts w:ascii="Calibri" w:hAnsi="Calibri"/>
          <w:bCs w:val="0"/>
          <w:color w:val="000000"/>
          <w:sz w:val="22"/>
          <w:szCs w:val="22"/>
        </w:rPr>
        <w:t xml:space="preserve"> </w:t>
      </w:r>
      <w:r>
        <w:rPr>
          <w:rFonts w:ascii="Calibri" w:hAnsi="Calibri"/>
          <w:color w:val="000000"/>
          <w:sz w:val="22"/>
          <w:szCs w:val="22"/>
        </w:rPr>
        <w:t xml:space="preserve"> </w:t>
      </w:r>
    </w:p>
    <w:p>
      <w:pPr>
        <w:tabs>
          <w:tab w:val="left" w:pos="1260"/>
        </w:tabs>
        <w:autoSpaceDE w:val="0"/>
        <w:autoSpaceDN w:val="0"/>
        <w:adjustRightInd w:val="0"/>
        <w:ind w:left="1260" w:hanging="1260"/>
        <w:rPr>
          <w:rFonts w:ascii="Calibri" w:hAnsi="Calibri"/>
          <w:b/>
          <w:bCs/>
          <w:color w:val="000000"/>
          <w:sz w:val="22"/>
          <w:szCs w:val="22"/>
        </w:rPr>
      </w:pPr>
      <w:r>
        <w:rPr>
          <w:rStyle w:val="Strong"/>
          <w:rFonts w:ascii="Calibri" w:hAnsi="Calibri"/>
          <w:bCs w:val="0"/>
          <w:color w:val="000000"/>
          <w:sz w:val="22"/>
          <w:szCs w:val="22"/>
        </w:rPr>
        <w:tab/>
        <w:t>Moderator: Chief Judge Marc Loud, DC CAB</w:t>
      </w:r>
    </w:p>
    <w:p>
      <w:pPr>
        <w:tabs>
          <w:tab w:val="left" w:pos="1260"/>
        </w:tabs>
        <w:ind w:left="1260" w:hanging="1260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ab/>
        <w:t>Panelists</w:t>
      </w:r>
      <w:r>
        <w:rPr>
          <w:rFonts w:ascii="Calibri" w:hAnsi="Calibri"/>
          <w:color w:val="000000"/>
          <w:sz w:val="22"/>
          <w:szCs w:val="22"/>
        </w:rPr>
        <w:t xml:space="preserve">: </w:t>
      </w:r>
      <w:r>
        <w:rPr>
          <w:rFonts w:ascii="Calibri" w:hAnsi="Calibri"/>
          <w:b/>
          <w:color w:val="000000"/>
          <w:sz w:val="22"/>
          <w:szCs w:val="22"/>
        </w:rPr>
        <w:t>Judge Marie Collins</w:t>
      </w:r>
      <w:r>
        <w:rPr>
          <w:rFonts w:ascii="Calibri" w:hAnsi="Calibri"/>
          <w:color w:val="000000"/>
          <w:sz w:val="22"/>
          <w:szCs w:val="22"/>
        </w:rPr>
        <w:t xml:space="preserve">, FAA ODRA; </w:t>
      </w:r>
      <w:r>
        <w:rPr>
          <w:rFonts w:ascii="Calibri" w:hAnsi="Calibri"/>
          <w:b/>
          <w:color w:val="000000"/>
          <w:sz w:val="22"/>
          <w:szCs w:val="22"/>
        </w:rPr>
        <w:t>Judge</w:t>
      </w:r>
      <w:r>
        <w:rPr>
          <w:rFonts w:ascii="Calibri" w:hAnsi="Calibri"/>
          <w:color w:val="000000"/>
          <w:sz w:val="22"/>
          <w:szCs w:val="22"/>
        </w:rPr>
        <w:t xml:space="preserve"> </w:t>
      </w:r>
      <w:r>
        <w:rPr>
          <w:rFonts w:ascii="Calibri" w:hAnsi="Calibri"/>
          <w:b/>
          <w:color w:val="000000"/>
          <w:sz w:val="22"/>
          <w:szCs w:val="22"/>
        </w:rPr>
        <w:t xml:space="preserve">Maxine </w:t>
      </w:r>
      <w:proofErr w:type="spellStart"/>
      <w:r>
        <w:rPr>
          <w:rFonts w:ascii="Calibri" w:hAnsi="Calibri"/>
          <w:b/>
          <w:color w:val="000000"/>
          <w:sz w:val="22"/>
          <w:szCs w:val="22"/>
        </w:rPr>
        <w:t>McBean</w:t>
      </w:r>
      <w:proofErr w:type="spellEnd"/>
      <w:r>
        <w:rPr>
          <w:rFonts w:ascii="Calibri" w:hAnsi="Calibri"/>
          <w:color w:val="000000"/>
          <w:sz w:val="22"/>
          <w:szCs w:val="22"/>
        </w:rPr>
        <w:t>, DC CAB;</w:t>
      </w:r>
      <w:r>
        <w:rPr>
          <w:rFonts w:ascii="Calibri" w:hAnsi="Calibri"/>
          <w:b/>
          <w:color w:val="000000"/>
          <w:sz w:val="22"/>
          <w:szCs w:val="22"/>
        </w:rPr>
        <w:t xml:space="preserve"> Judge Elizabeth W. Newsom</w:t>
      </w:r>
      <w:r>
        <w:rPr>
          <w:rFonts w:ascii="Calibri" w:hAnsi="Calibri"/>
          <w:color w:val="000000"/>
          <w:sz w:val="22"/>
          <w:szCs w:val="22"/>
        </w:rPr>
        <w:t xml:space="preserve">; ASBCA; </w:t>
      </w:r>
      <w:r>
        <w:rPr>
          <w:rFonts w:ascii="Calibri" w:hAnsi="Calibri"/>
          <w:b/>
          <w:color w:val="000000"/>
          <w:sz w:val="22"/>
          <w:szCs w:val="22"/>
        </w:rPr>
        <w:t>Judge Peter Pontzer</w:t>
      </w:r>
      <w:r>
        <w:rPr>
          <w:rFonts w:ascii="Calibri" w:hAnsi="Calibri"/>
          <w:color w:val="000000"/>
          <w:sz w:val="22"/>
          <w:szCs w:val="22"/>
        </w:rPr>
        <w:t xml:space="preserve">, PSBCA; </w:t>
      </w:r>
      <w:r>
        <w:rPr>
          <w:rFonts w:ascii="Calibri" w:hAnsi="Calibri"/>
          <w:b/>
          <w:color w:val="000000"/>
          <w:sz w:val="22"/>
          <w:szCs w:val="22"/>
        </w:rPr>
        <w:t xml:space="preserve">Judge Jonathan Zischkau, </w:t>
      </w:r>
      <w:r>
        <w:rPr>
          <w:rFonts w:ascii="Calibri" w:hAnsi="Calibri"/>
          <w:color w:val="000000"/>
          <w:sz w:val="22"/>
          <w:szCs w:val="22"/>
        </w:rPr>
        <w:t>CBCA</w:t>
      </w:r>
    </w:p>
    <w:p>
      <w:pPr>
        <w:tabs>
          <w:tab w:val="left" w:pos="1260"/>
        </w:tabs>
        <w:ind w:left="1260" w:hanging="1260"/>
        <w:rPr>
          <w:rFonts w:ascii="Calibri" w:hAnsi="Calibri"/>
          <w:b/>
          <w:sz w:val="22"/>
          <w:szCs w:val="22"/>
        </w:rPr>
      </w:pPr>
    </w:p>
    <w:p>
      <w:pPr>
        <w:tabs>
          <w:tab w:val="left" w:pos="1260"/>
        </w:tabs>
        <w:rPr>
          <w:rFonts w:ascii="Calibri" w:hAnsi="Calibri"/>
          <w:b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>4:45 - 5:15</w:t>
      </w:r>
      <w:r>
        <w:rPr>
          <w:rFonts w:ascii="Calibri" w:hAnsi="Calibri"/>
          <w:b/>
          <w:color w:val="000000"/>
          <w:sz w:val="22"/>
          <w:szCs w:val="22"/>
        </w:rPr>
        <w:tab/>
        <w:t>BCABA, INC. ANNUAL BUSINESS MEETING</w:t>
      </w:r>
    </w:p>
    <w:p>
      <w:pPr>
        <w:spacing w:after="200" w:line="276" w:lineRule="auto"/>
        <w:rPr>
          <w:rFonts w:ascii="Calibri" w:hAnsi="Calibri"/>
          <w:b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br w:type="page"/>
      </w:r>
    </w:p>
    <w:p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32"/>
          <w:szCs w:val="32"/>
        </w:rPr>
      </w:pPr>
      <w:r>
        <w:rPr>
          <w:rStyle w:val="Strong"/>
          <w:rFonts w:ascii="Calibri" w:hAnsi="Calibri"/>
          <w:bCs w:val="0"/>
          <w:color w:val="000000"/>
          <w:sz w:val="32"/>
          <w:szCs w:val="32"/>
        </w:rPr>
        <w:lastRenderedPageBreak/>
        <w:t>Tab 1</w:t>
      </w:r>
    </w:p>
    <w:p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32"/>
          <w:szCs w:val="32"/>
        </w:rPr>
      </w:pPr>
      <w:r>
        <w:rPr>
          <w:rStyle w:val="Strong"/>
          <w:rFonts w:ascii="Calibri" w:hAnsi="Calibri"/>
          <w:bCs w:val="0"/>
          <w:color w:val="000000"/>
          <w:sz w:val="32"/>
          <w:szCs w:val="32"/>
        </w:rPr>
        <w:t>Table of Contents</w:t>
      </w: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</w:p>
    <w:p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  <w:r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  <w:t>Tab 1:</w:t>
      </w:r>
      <w:r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  <w:tab/>
        <w:t>Agenda and Table of Contents</w:t>
      </w:r>
    </w:p>
    <w:p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</w:p>
    <w:p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  <w:r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  <w:t>Tab 2:</w:t>
      </w:r>
      <w:r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  <w:tab/>
        <w:t>BCABA Leadership and Past Award Recipients</w:t>
      </w:r>
    </w:p>
    <w:p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</w:p>
    <w:p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  <w:r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  <w:t>Tab 3:</w:t>
      </w:r>
      <w:r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  <w:tab/>
        <w:t>Speaker Biographies</w:t>
      </w:r>
    </w:p>
    <w:p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</w:p>
    <w:p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  <w:r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  <w:t>Tab 4:</w:t>
      </w:r>
      <w:r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  <w:tab/>
      </w:r>
      <w:r>
        <w:rPr>
          <w:rStyle w:val="Strong"/>
          <w:rFonts w:ascii="Calibri" w:hAnsi="Calibri"/>
          <w:bCs w:val="0"/>
          <w:color w:val="000000"/>
          <w:sz w:val="22"/>
          <w:szCs w:val="22"/>
          <w:u w:val="single"/>
        </w:rPr>
        <w:t>Panel No. 1</w:t>
      </w:r>
      <w:r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  <w:t>: Court of Federal Claims and Federal Circuit Decision: Recent Developments</w:t>
      </w:r>
    </w:p>
    <w:p>
      <w:pPr>
        <w:tabs>
          <w:tab w:val="left" w:pos="1260"/>
        </w:tabs>
        <w:ind w:left="1260" w:hanging="1260"/>
        <w:rPr>
          <w:rFonts w:ascii="Calibri" w:hAnsi="Calibri"/>
          <w:bCs/>
          <w:sz w:val="22"/>
          <w:szCs w:val="22"/>
        </w:rPr>
      </w:pPr>
    </w:p>
    <w:p>
      <w:pPr>
        <w:tabs>
          <w:tab w:val="left" w:pos="1260"/>
        </w:tabs>
        <w:ind w:left="1260" w:hanging="1260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bCs/>
          <w:sz w:val="22"/>
          <w:szCs w:val="22"/>
        </w:rPr>
        <w:t>Tab 5:</w:t>
      </w:r>
      <w:r>
        <w:rPr>
          <w:rFonts w:ascii="Calibri" w:hAnsi="Calibri"/>
          <w:bCs/>
          <w:sz w:val="22"/>
          <w:szCs w:val="22"/>
        </w:rPr>
        <w:tab/>
      </w:r>
      <w:r>
        <w:rPr>
          <w:rFonts w:ascii="Calibri" w:hAnsi="Calibri"/>
          <w:b/>
          <w:bCs/>
          <w:sz w:val="22"/>
          <w:szCs w:val="22"/>
          <w:u w:val="single"/>
        </w:rPr>
        <w:t>Panel No. 2</w:t>
      </w:r>
      <w:r>
        <w:rPr>
          <w:rFonts w:ascii="Calibri" w:hAnsi="Calibri"/>
          <w:bCs/>
          <w:sz w:val="22"/>
          <w:szCs w:val="22"/>
        </w:rPr>
        <w:t>: Regulatory Update: What You Need to Know About the Ever-Changing Regulatory Landscape</w:t>
      </w:r>
      <w:r>
        <w:rPr>
          <w:rFonts w:ascii="Calibri" w:hAnsi="Calibri"/>
          <w:bCs/>
          <w:sz w:val="22"/>
          <w:szCs w:val="22"/>
        </w:rPr>
        <w:tab/>
      </w:r>
    </w:p>
    <w:p>
      <w:pPr>
        <w:pStyle w:val="PlainText"/>
        <w:tabs>
          <w:tab w:val="left" w:pos="1260"/>
        </w:tabs>
        <w:ind w:left="1260" w:hanging="1260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</w:p>
    <w:p>
      <w:pPr>
        <w:pStyle w:val="PlainText"/>
        <w:tabs>
          <w:tab w:val="left" w:pos="1260"/>
        </w:tabs>
        <w:ind w:left="1260" w:hanging="1260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  <w:r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  <w:t>Tab 6:</w:t>
      </w:r>
      <w:r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  <w:tab/>
      </w:r>
      <w:r>
        <w:rPr>
          <w:rStyle w:val="Strong"/>
          <w:rFonts w:ascii="Calibri" w:hAnsi="Calibri"/>
          <w:bCs w:val="0"/>
          <w:color w:val="000000"/>
          <w:sz w:val="22"/>
          <w:szCs w:val="22"/>
          <w:u w:val="single"/>
        </w:rPr>
        <w:t>Panel No. 3</w:t>
      </w:r>
      <w:r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  <w:t>: The Civil False Claims Act</w:t>
      </w:r>
    </w:p>
    <w:p>
      <w:pPr>
        <w:pStyle w:val="PlainText"/>
        <w:tabs>
          <w:tab w:val="left" w:pos="1260"/>
        </w:tabs>
        <w:ind w:left="1260" w:hanging="1260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  <w:r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  <w:tab/>
      </w:r>
    </w:p>
    <w:p>
      <w:pPr>
        <w:pStyle w:val="PlainText"/>
        <w:tabs>
          <w:tab w:val="left" w:pos="1260"/>
        </w:tabs>
        <w:ind w:left="1260" w:hanging="1260"/>
        <w:rPr>
          <w:rFonts w:ascii="Calibri" w:hAnsi="Calibri"/>
          <w:sz w:val="22"/>
          <w:szCs w:val="22"/>
        </w:rPr>
      </w:pPr>
      <w:r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  <w:t>Tab 7:</w:t>
      </w:r>
      <w:r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  <w:tab/>
        <w:t>Lunch Key Note Speaker: The Honorable Anne Rung,</w:t>
      </w:r>
    </w:p>
    <w:p>
      <w:pPr>
        <w:pStyle w:val="NormalWeb"/>
        <w:tabs>
          <w:tab w:val="left" w:pos="1260"/>
        </w:tabs>
        <w:ind w:left="1260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  <w:r>
        <w:rPr>
          <w:rFonts w:ascii="Calibri" w:hAnsi="Calibri"/>
          <w:sz w:val="22"/>
          <w:szCs w:val="22"/>
        </w:rPr>
        <w:t>Administrator for Federal Procurement Policy</w:t>
      </w:r>
      <w:r>
        <w:rPr>
          <w:rFonts w:ascii="Calibri" w:hAnsi="Calibri"/>
          <w:i/>
          <w:sz w:val="22"/>
          <w:szCs w:val="22"/>
        </w:rPr>
        <w:t xml:space="preserve"> (invited but not confirmed)</w:t>
      </w:r>
    </w:p>
    <w:p>
      <w:pPr>
        <w:pStyle w:val="NormalWeb"/>
        <w:tabs>
          <w:tab w:val="left" w:pos="1080"/>
        </w:tabs>
        <w:rPr>
          <w:rFonts w:ascii="Calibri" w:hAnsi="Calibri"/>
          <w:sz w:val="22"/>
          <w:szCs w:val="22"/>
        </w:rPr>
      </w:pPr>
    </w:p>
    <w:p>
      <w:pPr>
        <w:pStyle w:val="NormalWeb"/>
        <w:tabs>
          <w:tab w:val="left" w:pos="1260"/>
        </w:tabs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Tab 8:</w:t>
      </w:r>
      <w:r>
        <w:rPr>
          <w:rFonts w:ascii="Calibri" w:hAnsi="Calibri"/>
          <w:sz w:val="22"/>
          <w:szCs w:val="22"/>
        </w:rPr>
        <w:tab/>
      </w:r>
      <w:r>
        <w:rPr>
          <w:rFonts w:ascii="Calibri" w:hAnsi="Calibri"/>
          <w:b/>
          <w:sz w:val="22"/>
          <w:szCs w:val="22"/>
          <w:u w:val="single"/>
        </w:rPr>
        <w:t>Panel No. 4</w:t>
      </w:r>
      <w:r>
        <w:rPr>
          <w:rFonts w:ascii="Calibri" w:hAnsi="Calibri"/>
          <w:sz w:val="22"/>
          <w:szCs w:val="22"/>
        </w:rPr>
        <w:t>: Ethics in Government Contracts</w:t>
      </w:r>
    </w:p>
    <w:p>
      <w:pPr>
        <w:pStyle w:val="NormalWeb"/>
        <w:tabs>
          <w:tab w:val="left" w:pos="1260"/>
        </w:tabs>
        <w:rPr>
          <w:rFonts w:ascii="Calibri" w:hAnsi="Calibri"/>
          <w:sz w:val="22"/>
          <w:szCs w:val="22"/>
        </w:rPr>
      </w:pPr>
    </w:p>
    <w:p>
      <w:pPr>
        <w:pStyle w:val="NormalWeb"/>
        <w:tabs>
          <w:tab w:val="left" w:pos="1260"/>
        </w:tabs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Tab 9:</w:t>
      </w:r>
      <w:r>
        <w:rPr>
          <w:rFonts w:ascii="Calibri" w:hAnsi="Calibri"/>
          <w:sz w:val="22"/>
          <w:szCs w:val="22"/>
        </w:rPr>
        <w:tab/>
      </w:r>
      <w:r>
        <w:rPr>
          <w:rFonts w:ascii="Calibri" w:hAnsi="Calibri"/>
          <w:b/>
          <w:sz w:val="22"/>
          <w:szCs w:val="22"/>
          <w:u w:val="single"/>
        </w:rPr>
        <w:t>Panel No. 5</w:t>
      </w:r>
      <w:r>
        <w:rPr>
          <w:rFonts w:ascii="Calibri" w:hAnsi="Calibri"/>
          <w:sz w:val="22"/>
          <w:szCs w:val="22"/>
        </w:rPr>
        <w:t>: Key BCA Decisions: The Year in Review</w:t>
      </w:r>
    </w:p>
    <w:p>
      <w:pPr>
        <w:pStyle w:val="NormalWeb"/>
        <w:tabs>
          <w:tab w:val="left" w:pos="1260"/>
        </w:tabs>
        <w:rPr>
          <w:rFonts w:ascii="Calibri" w:hAnsi="Calibri"/>
          <w:sz w:val="22"/>
          <w:szCs w:val="22"/>
        </w:rPr>
      </w:pPr>
    </w:p>
    <w:p>
      <w:pPr>
        <w:pStyle w:val="NormalWeb"/>
        <w:tabs>
          <w:tab w:val="left" w:pos="1260"/>
        </w:tabs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Tab 10:</w:t>
      </w:r>
      <w:r>
        <w:rPr>
          <w:rFonts w:ascii="Calibri" w:hAnsi="Calibri"/>
          <w:sz w:val="22"/>
          <w:szCs w:val="22"/>
        </w:rPr>
        <w:tab/>
      </w:r>
      <w:r>
        <w:rPr>
          <w:rFonts w:ascii="Calibri" w:hAnsi="Calibri"/>
          <w:b/>
          <w:sz w:val="22"/>
          <w:szCs w:val="22"/>
          <w:u w:val="single"/>
        </w:rPr>
        <w:t>Panel No. 6</w:t>
      </w:r>
      <w:r>
        <w:rPr>
          <w:rFonts w:ascii="Calibri" w:hAnsi="Calibri"/>
          <w:sz w:val="22"/>
          <w:szCs w:val="22"/>
        </w:rPr>
        <w:t>: BCA Judges Panel</w:t>
      </w:r>
    </w:p>
    <w:p>
      <w:pPr>
        <w:pStyle w:val="NormalWeb"/>
        <w:tabs>
          <w:tab w:val="left" w:pos="1260"/>
        </w:tabs>
        <w:rPr>
          <w:rFonts w:ascii="Calibri" w:hAnsi="Calibri"/>
          <w:sz w:val="22"/>
          <w:szCs w:val="22"/>
        </w:rPr>
      </w:pPr>
    </w:p>
    <w:p>
      <w:pPr>
        <w:pStyle w:val="NormalWeb"/>
        <w:tabs>
          <w:tab w:val="left" w:pos="1260"/>
        </w:tabs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sz w:val="22"/>
          <w:szCs w:val="22"/>
        </w:rPr>
        <w:t>Tab 11:</w:t>
      </w:r>
      <w:r>
        <w:rPr>
          <w:rFonts w:ascii="Calibri" w:hAnsi="Calibri"/>
          <w:sz w:val="22"/>
          <w:szCs w:val="22"/>
        </w:rPr>
        <w:tab/>
        <w:t>Program Feedback Form</w:t>
      </w:r>
    </w:p>
    <w:p>
      <w:pPr>
        <w:spacing w:after="200" w:line="276" w:lineRule="auto"/>
        <w:rPr>
          <w:rStyle w:val="Strong"/>
          <w:rFonts w:ascii="Calibri" w:hAnsi="Calibri"/>
          <w:bCs w:val="0"/>
          <w:color w:val="000000"/>
          <w:sz w:val="32"/>
          <w:szCs w:val="32"/>
        </w:rPr>
      </w:pPr>
      <w:r>
        <w:rPr>
          <w:rStyle w:val="Strong"/>
          <w:rFonts w:ascii="Calibri" w:hAnsi="Calibri"/>
          <w:bCs w:val="0"/>
          <w:color w:val="000000"/>
          <w:sz w:val="32"/>
          <w:szCs w:val="32"/>
        </w:rPr>
        <w:br w:type="page"/>
      </w:r>
    </w:p>
    <w:p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32"/>
          <w:szCs w:val="32"/>
        </w:rPr>
      </w:pPr>
      <w:r>
        <w:rPr>
          <w:rStyle w:val="Strong"/>
          <w:rFonts w:ascii="Calibri" w:hAnsi="Calibri"/>
          <w:bCs w:val="0"/>
          <w:color w:val="000000"/>
          <w:sz w:val="32"/>
          <w:szCs w:val="32"/>
        </w:rPr>
        <w:lastRenderedPageBreak/>
        <w:t>Tab 2</w:t>
      </w:r>
    </w:p>
    <w:p>
      <w:pPr>
        <w:pStyle w:val="NormalWeb"/>
        <w:tabs>
          <w:tab w:val="left" w:pos="1260"/>
        </w:tabs>
        <w:ind w:left="1260" w:hanging="1260"/>
        <w:jc w:val="center"/>
        <w:rPr>
          <w:rStyle w:val="Strong"/>
          <w:rFonts w:ascii="Calibri" w:hAnsi="Calibri"/>
          <w:bCs w:val="0"/>
          <w:color w:val="000000"/>
          <w:sz w:val="22"/>
          <w:szCs w:val="22"/>
        </w:rPr>
      </w:pPr>
      <w:r>
        <w:rPr>
          <w:rStyle w:val="Strong"/>
          <w:rFonts w:ascii="Calibri" w:hAnsi="Calibri"/>
          <w:bCs w:val="0"/>
          <w:color w:val="000000"/>
          <w:sz w:val="32"/>
          <w:szCs w:val="32"/>
        </w:rPr>
        <w:t>BCABA Leadership and Past Award Recipients</w:t>
      </w:r>
    </w:p>
    <w:p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22"/>
          <w:szCs w:val="22"/>
        </w:rPr>
      </w:pPr>
    </w:p>
    <w:p>
      <w:pPr>
        <w:spacing w:after="200" w:line="276" w:lineRule="auto"/>
        <w:rPr>
          <w:rStyle w:val="Strong"/>
          <w:rFonts w:ascii="Calibri" w:hAnsi="Calibri"/>
          <w:bCs w:val="0"/>
          <w:caps/>
          <w:color w:val="000000"/>
          <w:u w:val="single"/>
        </w:rPr>
        <w:sectPr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2240" w:h="15840" w:code="1"/>
          <w:pgMar w:top="720" w:right="720" w:bottom="720" w:left="720" w:header="720" w:footer="720" w:gutter="0"/>
          <w:pgNumType w:start="1"/>
          <w:cols w:space="720"/>
          <w:titlePg/>
          <w:docGrid w:linePitch="360"/>
        </w:sectPr>
      </w:pPr>
      <w:r>
        <w:rPr>
          <w:rStyle w:val="Strong"/>
          <w:rFonts w:ascii="Calibri" w:hAnsi="Calibri"/>
          <w:bCs w:val="0"/>
          <w:caps/>
          <w:color w:val="000000"/>
          <w:u w:val="single"/>
        </w:rPr>
        <w:t>Officers</w:t>
      </w:r>
      <w:r>
        <w:rPr>
          <w:rStyle w:val="Strong"/>
          <w:rFonts w:ascii="Calibri" w:hAnsi="Calibri"/>
          <w:bCs w:val="0"/>
          <w:caps/>
          <w:color w:val="000000"/>
          <w:u w:val="single"/>
        </w:rPr>
        <w:tab/>
      </w:r>
      <w:r>
        <w:rPr>
          <w:rStyle w:val="Strong"/>
          <w:rFonts w:ascii="Calibri" w:hAnsi="Calibri"/>
          <w:bCs w:val="0"/>
          <w:caps/>
          <w:color w:val="000000"/>
          <w:u w:val="single"/>
        </w:rPr>
        <w:tab/>
      </w:r>
      <w:r>
        <w:rPr>
          <w:rStyle w:val="Strong"/>
          <w:rFonts w:ascii="Calibri" w:hAnsi="Calibri"/>
          <w:bCs w:val="0"/>
          <w:caps/>
          <w:color w:val="000000"/>
          <w:u w:val="single"/>
        </w:rPr>
        <w:tab/>
      </w:r>
      <w:r>
        <w:rPr>
          <w:rStyle w:val="Strong"/>
          <w:rFonts w:ascii="Calibri" w:hAnsi="Calibri"/>
          <w:bCs w:val="0"/>
          <w:caps/>
          <w:color w:val="000000"/>
          <w:u w:val="single"/>
        </w:rPr>
        <w:tab/>
      </w:r>
      <w:r>
        <w:rPr>
          <w:rStyle w:val="Strong"/>
          <w:rFonts w:ascii="Calibri" w:hAnsi="Calibri"/>
          <w:bCs w:val="0"/>
          <w:caps/>
          <w:color w:val="000000"/>
          <w:u w:val="single"/>
        </w:rPr>
        <w:tab/>
      </w:r>
      <w:r>
        <w:rPr>
          <w:rStyle w:val="Strong"/>
          <w:rFonts w:ascii="Calibri" w:hAnsi="Calibri"/>
          <w:bCs w:val="0"/>
          <w:caps/>
          <w:color w:val="000000"/>
          <w:u w:val="single"/>
        </w:rPr>
        <w:tab/>
      </w:r>
      <w:r>
        <w:rPr>
          <w:rStyle w:val="Strong"/>
          <w:rFonts w:ascii="Calibri" w:hAnsi="Calibri"/>
          <w:bCs w:val="0"/>
          <w:caps/>
          <w:color w:val="000000"/>
          <w:u w:val="single"/>
        </w:rPr>
        <w:tab/>
      </w:r>
      <w:r>
        <w:rPr>
          <w:rStyle w:val="Strong"/>
          <w:rFonts w:ascii="Calibri" w:hAnsi="Calibri"/>
          <w:bCs w:val="0"/>
          <w:caps/>
          <w:color w:val="000000"/>
          <w:u w:val="single"/>
        </w:rPr>
        <w:tab/>
      </w:r>
      <w:r>
        <w:rPr>
          <w:rStyle w:val="Strong"/>
          <w:rFonts w:ascii="Calibri" w:hAnsi="Calibri"/>
          <w:bCs w:val="0"/>
          <w:caps/>
          <w:color w:val="000000"/>
          <w:u w:val="single"/>
        </w:rPr>
        <w:tab/>
      </w:r>
      <w:r>
        <w:rPr>
          <w:rStyle w:val="Strong"/>
          <w:rFonts w:ascii="Calibri" w:hAnsi="Calibri"/>
          <w:bCs w:val="0"/>
          <w:caps/>
          <w:color w:val="000000"/>
          <w:u w:val="single"/>
        </w:rPr>
        <w:tab/>
      </w:r>
      <w:r>
        <w:rPr>
          <w:rStyle w:val="Strong"/>
          <w:rFonts w:ascii="Calibri" w:hAnsi="Calibri"/>
          <w:bCs w:val="0"/>
          <w:caps/>
          <w:color w:val="000000"/>
          <w:u w:val="single"/>
        </w:rPr>
        <w:tab/>
      </w:r>
      <w:r>
        <w:rPr>
          <w:rStyle w:val="Strong"/>
          <w:rFonts w:ascii="Calibri" w:hAnsi="Calibri"/>
          <w:bCs w:val="0"/>
          <w:caps/>
          <w:color w:val="000000"/>
          <w:u w:val="single"/>
        </w:rPr>
        <w:tab/>
      </w:r>
    </w:p>
    <w:p>
      <w:pPr>
        <w:spacing w:line="276" w:lineRule="auto"/>
        <w:rPr>
          <w:rStyle w:val="Strong"/>
          <w:rFonts w:ascii="Calibri" w:hAnsi="Calibri"/>
          <w:bCs w:val="0"/>
          <w:color w:val="000000"/>
          <w:sz w:val="20"/>
          <w:szCs w:val="20"/>
        </w:rPr>
      </w:pPr>
      <w:r>
        <w:rPr>
          <w:rStyle w:val="Strong"/>
          <w:rFonts w:ascii="Calibri" w:hAnsi="Calibri"/>
          <w:bCs w:val="0"/>
          <w:color w:val="000000"/>
          <w:sz w:val="20"/>
          <w:szCs w:val="20"/>
        </w:rPr>
        <w:lastRenderedPageBreak/>
        <w:t>President:</w:t>
      </w: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Hon. Gary Shapiro</w:t>
      </w:r>
      <w:r>
        <w:rPr>
          <w:rFonts w:ascii="Calibri" w:hAnsi="Calibri"/>
          <w:color w:val="000000"/>
          <w:sz w:val="20"/>
          <w:szCs w:val="20"/>
        </w:rPr>
        <w:br/>
        <w:t>PSBCA</w:t>
      </w:r>
      <w:r>
        <w:rPr>
          <w:rFonts w:ascii="Calibri" w:hAnsi="Calibri"/>
          <w:color w:val="000000"/>
          <w:sz w:val="20"/>
          <w:szCs w:val="20"/>
        </w:rPr>
        <w:br/>
        <w:t>2101 Wilson Boulevard, Ste. 600</w:t>
      </w:r>
      <w:r>
        <w:rPr>
          <w:rFonts w:ascii="Calibri" w:hAnsi="Calibri"/>
          <w:color w:val="000000"/>
          <w:sz w:val="20"/>
          <w:szCs w:val="20"/>
        </w:rPr>
        <w:br/>
        <w:t>Arlington, VA</w:t>
      </w:r>
      <w:r>
        <w:rPr>
          <w:rFonts w:ascii="Calibri" w:hAnsi="Calibri"/>
          <w:color w:val="000000"/>
          <w:sz w:val="20"/>
          <w:szCs w:val="20"/>
        </w:rPr>
        <w:br/>
        <w:t>(w):  703-812-1900</w:t>
      </w:r>
      <w:r>
        <w:rPr>
          <w:rFonts w:ascii="Calibri" w:hAnsi="Calibri"/>
          <w:color w:val="000000"/>
          <w:sz w:val="20"/>
          <w:szCs w:val="20"/>
        </w:rPr>
        <w:br/>
        <w:t>(f):  703-812-1901</w:t>
      </w: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b/>
          <w:bCs/>
          <w:color w:val="000000"/>
          <w:sz w:val="20"/>
          <w:szCs w:val="20"/>
        </w:rPr>
        <w:t>Secretary:</w:t>
      </w:r>
      <w:r>
        <w:rPr>
          <w:rFonts w:ascii="Calibri" w:hAnsi="Calibri"/>
          <w:color w:val="000000"/>
          <w:sz w:val="20"/>
          <w:szCs w:val="20"/>
        </w:rPr>
        <w:br/>
        <w:t xml:space="preserve">Hon. Marc Loud </w:t>
      </w:r>
      <w:r>
        <w:rPr>
          <w:rFonts w:ascii="Calibri" w:hAnsi="Calibri"/>
          <w:color w:val="000000"/>
          <w:sz w:val="20"/>
          <w:szCs w:val="20"/>
        </w:rPr>
        <w:br/>
        <w:t>DC Contract Appeals Board</w:t>
      </w:r>
      <w:r>
        <w:rPr>
          <w:rFonts w:ascii="Calibri" w:hAnsi="Calibri"/>
          <w:color w:val="000000"/>
          <w:sz w:val="20"/>
          <w:szCs w:val="20"/>
        </w:rPr>
        <w:br/>
        <w:t>441 4th Street, NW, Suite 350N</w:t>
      </w:r>
      <w:r>
        <w:rPr>
          <w:rFonts w:ascii="Calibri" w:hAnsi="Calibri"/>
          <w:color w:val="000000"/>
          <w:sz w:val="20"/>
          <w:szCs w:val="20"/>
        </w:rPr>
        <w:br/>
        <w:t xml:space="preserve">Washington, DC 20001 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(w):  202-727-6597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(f):  202-727-3993</w:t>
      </w: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  <w:r>
        <w:rPr>
          <w:rFonts w:ascii="Calibri" w:hAnsi="Calibri"/>
          <w:b/>
          <w:bCs/>
          <w:color w:val="000000"/>
          <w:sz w:val="20"/>
          <w:szCs w:val="20"/>
        </w:rPr>
        <w:t>Treasurer:</w:t>
      </w:r>
      <w:r>
        <w:rPr>
          <w:rFonts w:ascii="Calibri" w:hAnsi="Calibri"/>
          <w:color w:val="000000"/>
          <w:sz w:val="20"/>
          <w:szCs w:val="20"/>
        </w:rPr>
        <w:br/>
        <w:t>Thomas H. Gourlay, Jr.</w:t>
      </w:r>
      <w:r>
        <w:rPr>
          <w:rFonts w:ascii="Calibri" w:hAnsi="Calibri"/>
          <w:color w:val="000000"/>
          <w:sz w:val="20"/>
          <w:szCs w:val="20"/>
        </w:rPr>
        <w:br/>
        <w:t xml:space="preserve">U.S. Army Corps of Engineers </w:t>
      </w:r>
      <w:r>
        <w:rPr>
          <w:rFonts w:ascii="Calibri" w:hAnsi="Calibri"/>
          <w:color w:val="000000"/>
          <w:sz w:val="20"/>
          <w:szCs w:val="20"/>
        </w:rPr>
        <w:br/>
        <w:t xml:space="preserve">Office of the Chief Counsel </w:t>
      </w:r>
      <w:r>
        <w:rPr>
          <w:rFonts w:ascii="Calibri" w:hAnsi="Calibri"/>
          <w:color w:val="000000"/>
          <w:sz w:val="20"/>
          <w:szCs w:val="20"/>
        </w:rPr>
        <w:br/>
        <w:t xml:space="preserve">441 G Street, NW, Room 3G29 </w:t>
      </w:r>
      <w:r>
        <w:rPr>
          <w:rFonts w:ascii="Calibri" w:hAnsi="Calibri"/>
          <w:color w:val="000000"/>
          <w:sz w:val="20"/>
          <w:szCs w:val="20"/>
        </w:rPr>
        <w:br/>
        <w:t xml:space="preserve">Washington, DC 20548 </w:t>
      </w:r>
      <w:r>
        <w:rPr>
          <w:rFonts w:ascii="Calibri" w:hAnsi="Calibri"/>
          <w:color w:val="000000"/>
          <w:sz w:val="20"/>
          <w:szCs w:val="20"/>
        </w:rPr>
        <w:br/>
        <w:t xml:space="preserve">(w): 202-761-8542 </w:t>
      </w:r>
      <w:r>
        <w:rPr>
          <w:rFonts w:ascii="Calibri" w:hAnsi="Calibri"/>
          <w:color w:val="000000"/>
          <w:sz w:val="20"/>
          <w:szCs w:val="20"/>
        </w:rPr>
        <w:br/>
        <w:t>(f): 202-761-1113</w:t>
      </w: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  <w:r>
        <w:rPr>
          <w:rFonts w:ascii="Calibri" w:hAnsi="Calibri"/>
          <w:b/>
          <w:bCs/>
          <w:color w:val="000000"/>
          <w:sz w:val="20"/>
          <w:szCs w:val="20"/>
        </w:rPr>
        <w:t>Assistant Treasurer:</w:t>
      </w:r>
      <w:r>
        <w:rPr>
          <w:rFonts w:ascii="Calibri" w:hAnsi="Calibri"/>
          <w:color w:val="000000"/>
          <w:sz w:val="20"/>
          <w:szCs w:val="20"/>
        </w:rPr>
        <w:br/>
        <w:t>Erin B. Sheppard</w:t>
      </w:r>
      <w:r>
        <w:rPr>
          <w:rFonts w:ascii="Calibri" w:hAnsi="Calibri"/>
          <w:color w:val="000000"/>
          <w:sz w:val="20"/>
          <w:szCs w:val="20"/>
        </w:rPr>
        <w:br/>
        <w:t xml:space="preserve">McKenna, Long &amp; Aldridge </w:t>
      </w:r>
      <w:r>
        <w:rPr>
          <w:rFonts w:ascii="Calibri" w:hAnsi="Calibri"/>
          <w:color w:val="000000"/>
          <w:sz w:val="20"/>
          <w:szCs w:val="20"/>
        </w:rPr>
        <w:br/>
        <w:t xml:space="preserve">1900 K Street, NW </w:t>
      </w:r>
      <w:r>
        <w:rPr>
          <w:rFonts w:ascii="Calibri" w:hAnsi="Calibri"/>
          <w:color w:val="000000"/>
          <w:sz w:val="20"/>
          <w:szCs w:val="20"/>
        </w:rPr>
        <w:br/>
        <w:t>Washington, DC 20006</w:t>
      </w:r>
      <w:r>
        <w:rPr>
          <w:rFonts w:ascii="Calibri" w:hAnsi="Calibri"/>
          <w:color w:val="000000"/>
          <w:sz w:val="20"/>
          <w:szCs w:val="20"/>
        </w:rPr>
        <w:br/>
        <w:t xml:space="preserve">(w): 202-496-7533 </w:t>
      </w:r>
      <w:r>
        <w:rPr>
          <w:rFonts w:ascii="Calibri" w:hAnsi="Calibri"/>
          <w:color w:val="000000"/>
          <w:sz w:val="20"/>
          <w:szCs w:val="20"/>
        </w:rPr>
        <w:br/>
        <w:t>(f): 202-496-7756</w:t>
      </w: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Cs w:val="0"/>
          <w:color w:val="000000"/>
          <w:sz w:val="20"/>
          <w:szCs w:val="20"/>
        </w:rPr>
      </w:pPr>
      <w:r>
        <w:rPr>
          <w:rStyle w:val="Strong"/>
          <w:rFonts w:ascii="Calibri" w:hAnsi="Calibri"/>
          <w:bCs w:val="0"/>
          <w:color w:val="000000"/>
          <w:sz w:val="20"/>
          <w:szCs w:val="20"/>
        </w:rPr>
        <w:lastRenderedPageBreak/>
        <w:t>Vice President: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 xml:space="preserve">Kristen Ittig </w:t>
      </w:r>
      <w:r>
        <w:rPr>
          <w:rFonts w:ascii="Calibri" w:hAnsi="Calibri"/>
          <w:color w:val="000000"/>
          <w:sz w:val="20"/>
          <w:szCs w:val="20"/>
        </w:rPr>
        <w:br/>
        <w:t>Arnold &amp; Porter LLP</w:t>
      </w:r>
      <w:r>
        <w:rPr>
          <w:rFonts w:ascii="Calibri" w:hAnsi="Calibri"/>
          <w:color w:val="000000"/>
          <w:sz w:val="20"/>
          <w:szCs w:val="20"/>
        </w:rPr>
        <w:br/>
        <w:t>555 Twelfth Street, NW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 xml:space="preserve">Washington, DC 20004-1206 </w:t>
      </w:r>
      <w:r>
        <w:rPr>
          <w:rFonts w:ascii="Calibri" w:hAnsi="Calibri"/>
          <w:color w:val="000000"/>
          <w:sz w:val="20"/>
          <w:szCs w:val="20"/>
        </w:rPr>
        <w:br/>
        <w:t>(w):  202-942-5767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(f):  202-942-5999</w:t>
      </w: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Cs w:val="0"/>
          <w:color w:val="000000"/>
          <w:sz w:val="20"/>
          <w:szCs w:val="20"/>
        </w:rPr>
      </w:pPr>
      <w:r>
        <w:rPr>
          <w:rStyle w:val="Strong"/>
          <w:rFonts w:ascii="Calibri" w:hAnsi="Calibri"/>
          <w:bCs w:val="0"/>
          <w:color w:val="000000"/>
          <w:sz w:val="20"/>
          <w:szCs w:val="20"/>
        </w:rPr>
        <w:t>Immediate Past President:</w:t>
      </w:r>
    </w:p>
    <w:p>
      <w:pPr>
        <w:rPr>
          <w:rStyle w:val="Strong"/>
          <w:rFonts w:ascii="Calibri" w:hAnsi="Calibri"/>
          <w:b w:val="0"/>
          <w:bCs w:val="0"/>
          <w:color w:val="000000"/>
          <w:sz w:val="32"/>
          <w:szCs w:val="32"/>
        </w:rPr>
        <w:sectPr>
          <w:type w:val="continuous"/>
          <w:pgSz w:w="12240" w:h="15840" w:code="1"/>
          <w:pgMar w:top="720" w:right="1440" w:bottom="720" w:left="1440" w:header="720" w:footer="720" w:gutter="0"/>
          <w:pgNumType w:start="1"/>
          <w:cols w:num="2" w:space="720"/>
          <w:titlePg/>
          <w:docGrid w:linePitch="360"/>
        </w:sectPr>
      </w:pPr>
      <w:r>
        <w:rPr>
          <w:rFonts w:ascii="Calibri" w:hAnsi="Calibri"/>
          <w:color w:val="000000"/>
          <w:sz w:val="20"/>
          <w:szCs w:val="20"/>
        </w:rPr>
        <w:t>Don Yenovkian</w:t>
      </w:r>
      <w:r>
        <w:rPr>
          <w:rFonts w:ascii="Calibri" w:hAnsi="Calibri"/>
          <w:color w:val="000000"/>
          <w:sz w:val="20"/>
          <w:szCs w:val="20"/>
        </w:rPr>
        <w:br/>
      </w:r>
      <w:r>
        <w:rPr>
          <w:rFonts w:ascii="Calibri" w:hAnsi="Calibri"/>
          <w:bCs/>
          <w:color w:val="000000"/>
          <w:sz w:val="20"/>
          <w:szCs w:val="20"/>
        </w:rPr>
        <w:t>Senior Counsel, Fluor Corporation</w:t>
      </w:r>
      <w:r>
        <w:rPr>
          <w:rFonts w:ascii="Calibri" w:hAnsi="Calibri"/>
          <w:bCs/>
          <w:color w:val="000000"/>
          <w:sz w:val="20"/>
          <w:szCs w:val="20"/>
        </w:rPr>
        <w:br/>
        <w:t>100 Fluor Daniel Drive (HP03D)</w:t>
      </w:r>
      <w:r>
        <w:rPr>
          <w:rFonts w:ascii="Calibri" w:hAnsi="Calibri"/>
          <w:bCs/>
          <w:color w:val="000000"/>
          <w:sz w:val="20"/>
          <w:szCs w:val="20"/>
        </w:rPr>
        <w:br/>
        <w:t>Greenville, SC 29607-2770</w:t>
      </w:r>
      <w:r>
        <w:rPr>
          <w:rFonts w:ascii="Calibri" w:hAnsi="Calibri"/>
          <w:bCs/>
          <w:color w:val="000000"/>
          <w:sz w:val="20"/>
          <w:szCs w:val="20"/>
        </w:rPr>
        <w:br/>
        <w:t>(w):  864-281-5084</w:t>
      </w:r>
      <w:r>
        <w:rPr>
          <w:rFonts w:ascii="Calibri" w:hAnsi="Calibri"/>
          <w:bCs/>
          <w:color w:val="000000"/>
          <w:sz w:val="20"/>
          <w:szCs w:val="20"/>
        </w:rPr>
        <w:br/>
        <w:t>(m):  864-593-3056</w:t>
      </w:r>
    </w:p>
    <w:p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22"/>
          <w:szCs w:val="22"/>
        </w:rPr>
      </w:pPr>
    </w:p>
    <w:p>
      <w:pPr>
        <w:spacing w:after="200" w:line="276" w:lineRule="auto"/>
        <w:rPr>
          <w:rStyle w:val="Strong"/>
          <w:rFonts w:ascii="Calibri" w:hAnsi="Calibri"/>
          <w:bCs w:val="0"/>
          <w:caps/>
          <w:color w:val="000000"/>
          <w:u w:val="single"/>
        </w:rPr>
      </w:pPr>
      <w:r>
        <w:rPr>
          <w:rStyle w:val="Strong"/>
          <w:rFonts w:ascii="Calibri" w:hAnsi="Calibri"/>
          <w:bCs w:val="0"/>
          <w:caps/>
          <w:color w:val="000000"/>
          <w:u w:val="single"/>
        </w:rPr>
        <w:t>BOard of Governors</w:t>
      </w:r>
      <w:r>
        <w:rPr>
          <w:rStyle w:val="Strong"/>
          <w:rFonts w:ascii="Calibri" w:hAnsi="Calibri"/>
          <w:bCs w:val="0"/>
          <w:caps/>
          <w:color w:val="000000"/>
          <w:u w:val="single"/>
        </w:rPr>
        <w:tab/>
      </w:r>
      <w:r>
        <w:rPr>
          <w:rStyle w:val="Strong"/>
          <w:rFonts w:ascii="Calibri" w:hAnsi="Calibri"/>
          <w:bCs w:val="0"/>
          <w:caps/>
          <w:color w:val="000000"/>
          <w:u w:val="single"/>
        </w:rPr>
        <w:tab/>
      </w:r>
      <w:r>
        <w:rPr>
          <w:rStyle w:val="Strong"/>
          <w:rFonts w:ascii="Calibri" w:hAnsi="Calibri"/>
          <w:bCs w:val="0"/>
          <w:caps/>
          <w:color w:val="000000"/>
          <w:u w:val="single"/>
        </w:rPr>
        <w:tab/>
      </w:r>
      <w:r>
        <w:rPr>
          <w:rStyle w:val="Strong"/>
          <w:rFonts w:ascii="Calibri" w:hAnsi="Calibri"/>
          <w:bCs w:val="0"/>
          <w:caps/>
          <w:color w:val="000000"/>
          <w:u w:val="single"/>
        </w:rPr>
        <w:tab/>
      </w:r>
      <w:r>
        <w:rPr>
          <w:rStyle w:val="Strong"/>
          <w:rFonts w:ascii="Calibri" w:hAnsi="Calibri"/>
          <w:bCs w:val="0"/>
          <w:caps/>
          <w:color w:val="000000"/>
          <w:u w:val="single"/>
        </w:rPr>
        <w:tab/>
      </w:r>
      <w:r>
        <w:rPr>
          <w:rStyle w:val="Strong"/>
          <w:rFonts w:ascii="Calibri" w:hAnsi="Calibri"/>
          <w:bCs w:val="0"/>
          <w:caps/>
          <w:color w:val="000000"/>
          <w:u w:val="single"/>
        </w:rPr>
        <w:tab/>
      </w:r>
      <w:r>
        <w:rPr>
          <w:rStyle w:val="Strong"/>
          <w:rFonts w:ascii="Calibri" w:hAnsi="Calibri"/>
          <w:bCs w:val="0"/>
          <w:caps/>
          <w:color w:val="000000"/>
          <w:u w:val="single"/>
        </w:rPr>
        <w:tab/>
      </w:r>
      <w:r>
        <w:rPr>
          <w:rStyle w:val="Strong"/>
          <w:rFonts w:ascii="Calibri" w:hAnsi="Calibri"/>
          <w:bCs w:val="0"/>
          <w:caps/>
          <w:color w:val="000000"/>
          <w:u w:val="single"/>
        </w:rPr>
        <w:tab/>
      </w:r>
      <w:r>
        <w:rPr>
          <w:rStyle w:val="Strong"/>
          <w:rFonts w:ascii="Calibri" w:hAnsi="Calibri"/>
          <w:bCs w:val="0"/>
          <w:caps/>
          <w:color w:val="000000"/>
          <w:u w:val="single"/>
        </w:rPr>
        <w:tab/>
      </w:r>
      <w:r>
        <w:rPr>
          <w:rStyle w:val="Strong"/>
          <w:rFonts w:ascii="Calibri" w:hAnsi="Calibri"/>
          <w:bCs w:val="0"/>
          <w:caps/>
          <w:color w:val="000000"/>
          <w:u w:val="single"/>
        </w:rPr>
        <w:tab/>
      </w:r>
    </w:p>
    <w:p>
      <w:pPr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  <w:sectPr>
          <w:headerReference w:type="even" r:id="rId14"/>
          <w:headerReference w:type="default" r:id="rId15"/>
          <w:footerReference w:type="even" r:id="rId16"/>
          <w:footerReference w:type="default" r:id="rId17"/>
          <w:headerReference w:type="first" r:id="rId18"/>
          <w:footerReference w:type="first" r:id="rId19"/>
          <w:pgSz w:w="12240" w:h="15840" w:code="1"/>
          <w:pgMar w:top="720" w:right="1440" w:bottom="720" w:left="1440" w:header="720" w:footer="720" w:gutter="0"/>
          <w:pgNumType w:start="1"/>
          <w:cols w:space="720"/>
          <w:titlePg/>
          <w:docGrid w:linePitch="360"/>
        </w:sectPr>
      </w:pPr>
    </w:p>
    <w:p>
      <w:pPr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Daniel J. Strouse (2013-2015)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Cohen Mohr LLP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1055 Thomas Jefferson Street, NW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Washington, DC 20005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  <w:r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  <w:t>Katherine A. Allen (2011-2014)</w:t>
      </w: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  <w:r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  <w:t>Office of the Chief Counsel</w:t>
      </w: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  <w:r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  <w:t>U.S. Department of the Treasury</w:t>
      </w: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  <w:r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  <w:t>Bureau of Engraving and Printing</w:t>
      </w: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  <w:r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  <w:t>14</w:t>
      </w:r>
      <w:r>
        <w:rPr>
          <w:rStyle w:val="Strong"/>
          <w:rFonts w:ascii="Calibri" w:hAnsi="Calibri"/>
          <w:b w:val="0"/>
          <w:bCs w:val="0"/>
          <w:color w:val="000000"/>
          <w:sz w:val="20"/>
          <w:szCs w:val="20"/>
          <w:vertAlign w:val="superscript"/>
        </w:rPr>
        <w:t>th</w:t>
      </w:r>
      <w:r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  <w:t xml:space="preserve"> and C Streets, SW, Room 419-A</w:t>
      </w: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  <w:r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  <w:t>Washington, DC 20228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Hon. Anthony N. Palladino (2011-2014)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Director and Administrative Judge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FAA Office for Dispute Resolution for Acquisition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800 Independence Ave., SW, Room 323</w:t>
      </w: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Washington, DC 20591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C. Scott Maravilla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FAA Office of Dispute Resolution for Acquisition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800 Independence Avenue, SW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Washington, DC 20591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  <w:r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  <w:t xml:space="preserve">Jonathan A. </w:t>
      </w:r>
      <w:proofErr w:type="spellStart"/>
      <w:r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  <w:t>DeMella</w:t>
      </w:r>
      <w:proofErr w:type="spellEnd"/>
      <w:r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  <w:t xml:space="preserve"> (2011-2014)</w:t>
      </w: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  <w:proofErr w:type="spellStart"/>
      <w:r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  <w:t>Oles</w:t>
      </w:r>
      <w:proofErr w:type="spellEnd"/>
      <w:r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  <w:t xml:space="preserve"> Morrison Rinker Baker LLP</w:t>
      </w: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  <w:r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  <w:t>701 Pike Street, Suite 1700</w:t>
      </w: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  <w:r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  <w:t>Seattle, WA 98101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proofErr w:type="spellStart"/>
      <w:r>
        <w:rPr>
          <w:rFonts w:ascii="Calibri" w:hAnsi="Calibri"/>
          <w:color w:val="000000"/>
          <w:sz w:val="20"/>
          <w:szCs w:val="20"/>
        </w:rPr>
        <w:t>Ita</w:t>
      </w:r>
      <w:proofErr w:type="spellEnd"/>
      <w:r>
        <w:rPr>
          <w:rFonts w:ascii="Calibri" w:hAnsi="Calibri"/>
          <w:color w:val="000000"/>
          <w:sz w:val="20"/>
          <w:szCs w:val="20"/>
        </w:rPr>
        <w:t xml:space="preserve"> Snyder (2013-2015)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General Electric Aviation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1299 Pennsylvania Avenue, NW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Washington, DC 20004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William A. Wozniak (2013-2015)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Williams Mullen LLP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8300 Greensboro Drive, Ste. 1100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Tysons Corner, VA 22102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Erin Sheppard (2011-2014)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McKenna, Long &amp; Aldridge, LLP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1900 K Street, NW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Washington, DC 20006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David Edelstein (2013-2015)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proofErr w:type="spellStart"/>
      <w:r>
        <w:rPr>
          <w:rFonts w:ascii="Calibri" w:hAnsi="Calibri"/>
          <w:color w:val="000000"/>
          <w:sz w:val="20"/>
          <w:szCs w:val="20"/>
        </w:rPr>
        <w:t>Asmar</w:t>
      </w:r>
      <w:proofErr w:type="spellEnd"/>
      <w:r>
        <w:rPr>
          <w:rFonts w:ascii="Calibri" w:hAnsi="Calibri"/>
          <w:color w:val="000000"/>
          <w:sz w:val="20"/>
          <w:szCs w:val="20"/>
        </w:rPr>
        <w:t xml:space="preserve">, </w:t>
      </w:r>
      <w:proofErr w:type="spellStart"/>
      <w:r>
        <w:rPr>
          <w:rFonts w:ascii="Calibri" w:hAnsi="Calibri"/>
          <w:color w:val="000000"/>
          <w:sz w:val="20"/>
          <w:szCs w:val="20"/>
        </w:rPr>
        <w:t>Schor</w:t>
      </w:r>
      <w:proofErr w:type="spellEnd"/>
      <w:r>
        <w:rPr>
          <w:rFonts w:ascii="Calibri" w:hAnsi="Calibri"/>
          <w:color w:val="000000"/>
          <w:sz w:val="20"/>
          <w:szCs w:val="20"/>
        </w:rPr>
        <w:t xml:space="preserve"> &amp; McKenna, </w:t>
      </w:r>
      <w:proofErr w:type="spellStart"/>
      <w:r>
        <w:rPr>
          <w:rFonts w:ascii="Calibri" w:hAnsi="Calibri"/>
          <w:color w:val="000000"/>
          <w:sz w:val="20"/>
          <w:szCs w:val="20"/>
        </w:rPr>
        <w:t>PLLC</w:t>
      </w:r>
      <w:proofErr w:type="spellEnd"/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5335 Wisconsin Avenue, NW, Ste. 400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  <w:r>
        <w:rPr>
          <w:rFonts w:ascii="Calibri" w:hAnsi="Calibri"/>
          <w:color w:val="000000"/>
          <w:sz w:val="20"/>
          <w:szCs w:val="20"/>
        </w:rPr>
        <w:t>Washington, DC 20015</w:t>
      </w: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Fonts w:ascii="Calibri" w:hAnsi="Calibri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line="276" w:lineRule="auto"/>
        <w:rPr>
          <w:rStyle w:val="Strong"/>
          <w:rFonts w:ascii="Calibri" w:hAnsi="Calibri"/>
          <w:b w:val="0"/>
          <w:bCs w:val="0"/>
          <w:color w:val="000000"/>
          <w:sz w:val="20"/>
          <w:szCs w:val="20"/>
        </w:rPr>
      </w:pPr>
    </w:p>
    <w:p>
      <w:pPr>
        <w:spacing w:after="200" w:line="276" w:lineRule="auto"/>
        <w:rPr>
          <w:rStyle w:val="Strong"/>
          <w:rFonts w:ascii="Calibri" w:hAnsi="Calibri"/>
          <w:b w:val="0"/>
          <w:bCs w:val="0"/>
          <w:caps/>
          <w:color w:val="000000"/>
          <w:sz w:val="20"/>
          <w:szCs w:val="20"/>
        </w:rPr>
      </w:pPr>
    </w:p>
    <w:p>
      <w:pPr>
        <w:spacing w:after="200" w:line="276" w:lineRule="auto"/>
        <w:rPr>
          <w:rStyle w:val="Strong"/>
          <w:rFonts w:ascii="Calibri" w:hAnsi="Calibri"/>
          <w:bCs w:val="0"/>
          <w:caps/>
          <w:color w:val="000000"/>
          <w:u w:val="single"/>
        </w:rPr>
        <w:sectPr>
          <w:type w:val="continuous"/>
          <w:pgSz w:w="12240" w:h="15840" w:code="1"/>
          <w:pgMar w:top="720" w:right="1440" w:bottom="720" w:left="1440" w:header="720" w:footer="720" w:gutter="0"/>
          <w:pgNumType w:start="1"/>
          <w:cols w:num="2" w:space="720"/>
          <w:titlePg/>
          <w:docGrid w:linePitch="360"/>
        </w:sectPr>
      </w:pPr>
    </w:p>
    <w:p>
      <w:pPr>
        <w:jc w:val="center"/>
        <w:rPr>
          <w:rStyle w:val="Strong"/>
          <w:rFonts w:ascii="Calibri" w:hAnsi="Calibri"/>
          <w:bCs w:val="0"/>
          <w:caps/>
          <w:color w:val="000000"/>
          <w:u w:val="single"/>
        </w:rPr>
      </w:pPr>
      <w:r>
        <w:rPr>
          <w:rStyle w:val="Strong"/>
          <w:rFonts w:ascii="Calibri" w:hAnsi="Calibri"/>
          <w:bCs w:val="0"/>
          <w:caps/>
          <w:color w:val="000000"/>
          <w:u w:val="single"/>
        </w:rPr>
        <w:lastRenderedPageBreak/>
        <w:t>BCABA, INC. PAST PRESIDENTS</w:t>
      </w:r>
    </w:p>
    <w:p>
      <w:pPr>
        <w:rPr>
          <w:rStyle w:val="Strong"/>
          <w:rFonts w:ascii="Calibri" w:hAnsi="Calibri"/>
          <w:bCs w:val="0"/>
          <w:caps/>
          <w:color w:val="000000"/>
          <w:sz w:val="20"/>
          <w:szCs w:val="20"/>
          <w:u w:val="single"/>
        </w:rPr>
      </w:pPr>
    </w:p>
    <w:p>
      <w:pPr>
        <w:rPr>
          <w:rStyle w:val="Strong"/>
          <w:rFonts w:ascii="Calibri" w:hAnsi="Calibri"/>
          <w:bCs w:val="0"/>
          <w:caps/>
          <w:color w:val="000000"/>
          <w:sz w:val="20"/>
          <w:szCs w:val="20"/>
          <w:u w:val="single"/>
        </w:rPr>
      </w:pPr>
    </w:p>
    <w:p>
      <w:pPr>
        <w:spacing w:line="360" w:lineRule="auto"/>
        <w:rPr>
          <w:rFonts w:ascii="Calibri" w:hAnsi="Calibri"/>
          <w:caps/>
          <w:color w:val="000000"/>
        </w:rPr>
      </w:pPr>
      <w:r>
        <w:rPr>
          <w:rFonts w:ascii="Calibri" w:hAnsi="Calibri"/>
          <w:caps/>
          <w:color w:val="000000"/>
        </w:rPr>
        <w:t xml:space="preserve">FY 1990 – </w:t>
      </w:r>
      <w:r>
        <w:rPr>
          <w:rFonts w:ascii="Calibri" w:hAnsi="Calibri"/>
          <w:color w:val="000000"/>
        </w:rPr>
        <w:t xml:space="preserve">Marshall </w:t>
      </w:r>
      <w:proofErr w:type="spellStart"/>
      <w:r>
        <w:rPr>
          <w:rFonts w:ascii="Calibri" w:hAnsi="Calibri"/>
          <w:color w:val="000000"/>
        </w:rPr>
        <w:t>Doke</w:t>
      </w:r>
      <w:proofErr w:type="spellEnd"/>
    </w:p>
    <w:p>
      <w:pPr>
        <w:spacing w:line="360" w:lineRule="auto"/>
        <w:rPr>
          <w:rFonts w:ascii="Calibri" w:hAnsi="Calibri"/>
          <w:caps/>
          <w:color w:val="000000"/>
        </w:rPr>
      </w:pPr>
      <w:r>
        <w:rPr>
          <w:rFonts w:ascii="Calibri" w:hAnsi="Calibri"/>
          <w:caps/>
          <w:color w:val="000000"/>
        </w:rPr>
        <w:t xml:space="preserve">FY 1991 – </w:t>
      </w:r>
      <w:r>
        <w:rPr>
          <w:rFonts w:ascii="Calibri" w:hAnsi="Calibri"/>
          <w:color w:val="000000"/>
        </w:rPr>
        <w:t xml:space="preserve">Hon. Ron </w:t>
      </w:r>
      <w:proofErr w:type="spellStart"/>
      <w:r>
        <w:rPr>
          <w:rFonts w:ascii="Calibri" w:hAnsi="Calibri"/>
          <w:color w:val="000000"/>
        </w:rPr>
        <w:t>Kienlen</w:t>
      </w:r>
      <w:proofErr w:type="spellEnd"/>
    </w:p>
    <w:p>
      <w:pPr>
        <w:spacing w:line="360" w:lineRule="auto"/>
        <w:rPr>
          <w:rFonts w:ascii="Calibri" w:hAnsi="Calibri"/>
          <w:caps/>
          <w:color w:val="000000"/>
        </w:rPr>
      </w:pPr>
      <w:r>
        <w:rPr>
          <w:rFonts w:ascii="Calibri" w:hAnsi="Calibri"/>
          <w:caps/>
          <w:color w:val="000000"/>
        </w:rPr>
        <w:t xml:space="preserve">FY 1992 – </w:t>
      </w:r>
      <w:r>
        <w:rPr>
          <w:rFonts w:ascii="Calibri" w:hAnsi="Calibri"/>
          <w:color w:val="000000"/>
        </w:rPr>
        <w:t>Frank Carr</w:t>
      </w:r>
    </w:p>
    <w:p>
      <w:pPr>
        <w:spacing w:line="360" w:lineRule="auto"/>
        <w:rPr>
          <w:rFonts w:ascii="Calibri" w:hAnsi="Calibri"/>
          <w:caps/>
          <w:color w:val="000000"/>
        </w:rPr>
      </w:pPr>
      <w:r>
        <w:rPr>
          <w:rFonts w:ascii="Calibri" w:hAnsi="Calibri"/>
          <w:caps/>
          <w:color w:val="000000"/>
        </w:rPr>
        <w:t>FY 1993 –</w:t>
      </w:r>
      <w:r>
        <w:rPr>
          <w:rFonts w:ascii="Calibri" w:hAnsi="Calibri"/>
          <w:color w:val="000000"/>
        </w:rPr>
        <w:t xml:space="preserve"> Marcia Madsen</w:t>
      </w:r>
    </w:p>
    <w:p>
      <w:pPr>
        <w:spacing w:line="360" w:lineRule="auto"/>
        <w:rPr>
          <w:rFonts w:ascii="Calibri" w:hAnsi="Calibri"/>
          <w:caps/>
          <w:color w:val="000000"/>
        </w:rPr>
      </w:pPr>
      <w:r>
        <w:rPr>
          <w:rFonts w:ascii="Calibri" w:hAnsi="Calibri"/>
          <w:caps/>
          <w:color w:val="000000"/>
        </w:rPr>
        <w:t xml:space="preserve">FY 1994 – </w:t>
      </w:r>
      <w:r>
        <w:rPr>
          <w:rFonts w:ascii="Calibri" w:hAnsi="Calibri"/>
          <w:color w:val="000000"/>
        </w:rPr>
        <w:t>Robert Schaefer</w:t>
      </w:r>
    </w:p>
    <w:p>
      <w:pPr>
        <w:spacing w:line="360" w:lineRule="auto"/>
        <w:rPr>
          <w:rFonts w:ascii="Calibri" w:hAnsi="Calibri"/>
          <w:caps/>
          <w:color w:val="000000"/>
        </w:rPr>
      </w:pPr>
      <w:r>
        <w:rPr>
          <w:rFonts w:ascii="Calibri" w:hAnsi="Calibri"/>
          <w:caps/>
          <w:color w:val="000000"/>
        </w:rPr>
        <w:t xml:space="preserve">FY 1995 – COL </w:t>
      </w:r>
      <w:r>
        <w:rPr>
          <w:rFonts w:ascii="Calibri" w:hAnsi="Calibri"/>
          <w:color w:val="000000"/>
        </w:rPr>
        <w:t>Steven Porter</w:t>
      </w:r>
    </w:p>
    <w:p>
      <w:pPr>
        <w:spacing w:line="360" w:lineRule="auto"/>
        <w:rPr>
          <w:rFonts w:ascii="Calibri" w:hAnsi="Calibri"/>
          <w:caps/>
          <w:color w:val="000000"/>
        </w:rPr>
      </w:pPr>
      <w:r>
        <w:rPr>
          <w:rFonts w:ascii="Calibri" w:hAnsi="Calibri"/>
          <w:caps/>
          <w:color w:val="000000"/>
        </w:rPr>
        <w:t>FY 1996 –</w:t>
      </w:r>
      <w:r>
        <w:rPr>
          <w:rFonts w:ascii="Calibri" w:hAnsi="Calibri"/>
          <w:color w:val="000000"/>
        </w:rPr>
        <w:t xml:space="preserve"> Laura Kennedy</w:t>
      </w:r>
    </w:p>
    <w:p>
      <w:pPr>
        <w:spacing w:line="360" w:lineRule="auto"/>
        <w:rPr>
          <w:rFonts w:ascii="Calibri" w:hAnsi="Calibri"/>
          <w:caps/>
          <w:color w:val="000000"/>
        </w:rPr>
      </w:pPr>
      <w:r>
        <w:rPr>
          <w:rFonts w:ascii="Calibri" w:hAnsi="Calibri"/>
          <w:caps/>
          <w:color w:val="000000"/>
        </w:rPr>
        <w:t xml:space="preserve">FY 1997 – </w:t>
      </w:r>
      <w:r>
        <w:rPr>
          <w:rFonts w:ascii="Calibri" w:hAnsi="Calibri"/>
          <w:color w:val="000000"/>
        </w:rPr>
        <w:t>James Nagle</w:t>
      </w:r>
    </w:p>
    <w:p>
      <w:pPr>
        <w:spacing w:line="360" w:lineRule="auto"/>
        <w:rPr>
          <w:rFonts w:ascii="Calibri" w:hAnsi="Calibri"/>
          <w:caps/>
          <w:color w:val="000000"/>
        </w:rPr>
      </w:pPr>
      <w:r>
        <w:rPr>
          <w:rFonts w:ascii="Calibri" w:hAnsi="Calibri"/>
          <w:caps/>
          <w:color w:val="000000"/>
        </w:rPr>
        <w:t xml:space="preserve">FY 1998 – </w:t>
      </w:r>
      <w:r>
        <w:rPr>
          <w:rFonts w:ascii="Calibri" w:hAnsi="Calibri"/>
          <w:color w:val="000000"/>
        </w:rPr>
        <w:t>Hon. Cheryl Rome</w:t>
      </w:r>
    </w:p>
    <w:p>
      <w:pPr>
        <w:spacing w:line="360" w:lineRule="auto"/>
        <w:rPr>
          <w:rFonts w:ascii="Calibri" w:hAnsi="Calibri"/>
          <w:caps/>
          <w:color w:val="000000"/>
        </w:rPr>
      </w:pPr>
      <w:r>
        <w:rPr>
          <w:rFonts w:ascii="Calibri" w:hAnsi="Calibri"/>
          <w:caps/>
          <w:color w:val="000000"/>
        </w:rPr>
        <w:t xml:space="preserve">FY 1999 – </w:t>
      </w:r>
      <w:r>
        <w:rPr>
          <w:rFonts w:ascii="Calibri" w:hAnsi="Calibri"/>
          <w:color w:val="000000"/>
        </w:rPr>
        <w:t>David Metzger</w:t>
      </w:r>
    </w:p>
    <w:p>
      <w:pPr>
        <w:spacing w:line="360" w:lineRule="auto"/>
        <w:rPr>
          <w:rFonts w:ascii="Calibri" w:hAnsi="Calibri"/>
          <w:caps/>
          <w:color w:val="000000"/>
        </w:rPr>
      </w:pPr>
      <w:r>
        <w:rPr>
          <w:rFonts w:ascii="Calibri" w:hAnsi="Calibri"/>
          <w:caps/>
          <w:color w:val="000000"/>
        </w:rPr>
        <w:t xml:space="preserve">FY 2000 – </w:t>
      </w:r>
      <w:r>
        <w:rPr>
          <w:rFonts w:ascii="Calibri" w:hAnsi="Calibri"/>
          <w:color w:val="000000"/>
        </w:rPr>
        <w:t xml:space="preserve">Barbara </w:t>
      </w:r>
      <w:proofErr w:type="spellStart"/>
      <w:r>
        <w:rPr>
          <w:rFonts w:ascii="Calibri" w:hAnsi="Calibri"/>
          <w:color w:val="000000"/>
        </w:rPr>
        <w:t>Bonfiglio</w:t>
      </w:r>
      <w:proofErr w:type="spellEnd"/>
    </w:p>
    <w:p>
      <w:pPr>
        <w:spacing w:line="360" w:lineRule="auto"/>
        <w:rPr>
          <w:rFonts w:ascii="Calibri" w:hAnsi="Calibri"/>
          <w:caps/>
          <w:color w:val="000000"/>
        </w:rPr>
      </w:pPr>
      <w:r>
        <w:rPr>
          <w:rFonts w:ascii="Calibri" w:hAnsi="Calibri"/>
          <w:caps/>
          <w:color w:val="000000"/>
        </w:rPr>
        <w:t>FY 2001 –</w:t>
      </w:r>
      <w:r>
        <w:rPr>
          <w:rFonts w:ascii="Calibri" w:hAnsi="Calibri"/>
          <w:color w:val="000000"/>
        </w:rPr>
        <w:t xml:space="preserve"> James </w:t>
      </w:r>
      <w:proofErr w:type="spellStart"/>
      <w:r>
        <w:rPr>
          <w:rFonts w:ascii="Calibri" w:hAnsi="Calibri"/>
          <w:color w:val="000000"/>
        </w:rPr>
        <w:t>McAleese</w:t>
      </w:r>
      <w:proofErr w:type="spellEnd"/>
    </w:p>
    <w:p>
      <w:pPr>
        <w:spacing w:line="360" w:lineRule="auto"/>
        <w:rPr>
          <w:rFonts w:ascii="Calibri" w:hAnsi="Calibri"/>
          <w:caps/>
          <w:color w:val="000000"/>
        </w:rPr>
      </w:pPr>
      <w:r>
        <w:rPr>
          <w:rFonts w:ascii="Calibri" w:hAnsi="Calibri"/>
          <w:caps/>
          <w:color w:val="000000"/>
        </w:rPr>
        <w:t xml:space="preserve">FY 2002 – </w:t>
      </w:r>
      <w:r>
        <w:rPr>
          <w:rFonts w:ascii="Calibri" w:hAnsi="Calibri"/>
          <w:color w:val="000000"/>
        </w:rPr>
        <w:t>Peter McDonald</w:t>
      </w:r>
    </w:p>
    <w:p>
      <w:pPr>
        <w:spacing w:line="360" w:lineRule="auto"/>
        <w:rPr>
          <w:rFonts w:ascii="Calibri" w:hAnsi="Calibri"/>
          <w:caps/>
          <w:color w:val="000000"/>
        </w:rPr>
      </w:pPr>
      <w:r>
        <w:rPr>
          <w:rFonts w:ascii="Calibri" w:hAnsi="Calibri"/>
          <w:caps/>
          <w:color w:val="000000"/>
        </w:rPr>
        <w:t xml:space="preserve">FY 2003 – </w:t>
      </w:r>
      <w:r>
        <w:rPr>
          <w:rFonts w:ascii="Calibri" w:hAnsi="Calibri"/>
          <w:color w:val="000000"/>
        </w:rPr>
        <w:t xml:space="preserve">Richard </w:t>
      </w:r>
      <w:proofErr w:type="spellStart"/>
      <w:r>
        <w:rPr>
          <w:rFonts w:ascii="Calibri" w:hAnsi="Calibri"/>
          <w:color w:val="000000"/>
        </w:rPr>
        <w:t>Gallivan</w:t>
      </w:r>
      <w:proofErr w:type="spellEnd"/>
    </w:p>
    <w:p>
      <w:pPr>
        <w:spacing w:line="360" w:lineRule="auto"/>
        <w:rPr>
          <w:rFonts w:ascii="Calibri" w:hAnsi="Calibri"/>
          <w:caps/>
          <w:color w:val="000000"/>
        </w:rPr>
      </w:pPr>
      <w:r>
        <w:rPr>
          <w:rFonts w:ascii="Calibri" w:hAnsi="Calibri"/>
          <w:caps/>
          <w:color w:val="000000"/>
        </w:rPr>
        <w:t xml:space="preserve">FY 2004 – </w:t>
      </w:r>
      <w:r>
        <w:rPr>
          <w:rFonts w:ascii="Calibri" w:hAnsi="Calibri"/>
          <w:color w:val="000000"/>
        </w:rPr>
        <w:t>Elaine Eder</w:t>
      </w:r>
    </w:p>
    <w:p>
      <w:pPr>
        <w:spacing w:line="360" w:lineRule="auto"/>
        <w:rPr>
          <w:rFonts w:ascii="Calibri" w:hAnsi="Calibri"/>
          <w:caps/>
          <w:color w:val="000000"/>
        </w:rPr>
      </w:pPr>
      <w:r>
        <w:rPr>
          <w:rFonts w:ascii="Calibri" w:hAnsi="Calibri"/>
          <w:caps/>
          <w:color w:val="000000"/>
        </w:rPr>
        <w:t xml:space="preserve">FY 2005 – </w:t>
      </w:r>
      <w:r>
        <w:rPr>
          <w:rFonts w:ascii="Calibri" w:hAnsi="Calibri"/>
          <w:color w:val="000000"/>
        </w:rPr>
        <w:t xml:space="preserve">Joseph </w:t>
      </w:r>
      <w:proofErr w:type="spellStart"/>
      <w:r>
        <w:rPr>
          <w:rFonts w:ascii="Calibri" w:hAnsi="Calibri"/>
          <w:color w:val="000000"/>
        </w:rPr>
        <w:t>McDade</w:t>
      </w:r>
      <w:proofErr w:type="spellEnd"/>
    </w:p>
    <w:p>
      <w:pPr>
        <w:spacing w:line="360" w:lineRule="auto"/>
        <w:rPr>
          <w:rFonts w:ascii="Calibri" w:hAnsi="Calibri"/>
          <w:caps/>
          <w:color w:val="000000"/>
        </w:rPr>
      </w:pPr>
      <w:r>
        <w:rPr>
          <w:rFonts w:ascii="Calibri" w:hAnsi="Calibri"/>
          <w:caps/>
          <w:color w:val="000000"/>
        </w:rPr>
        <w:t xml:space="preserve">FY 2006 – </w:t>
      </w:r>
      <w:r>
        <w:rPr>
          <w:rFonts w:ascii="Calibri" w:hAnsi="Calibri"/>
          <w:color w:val="000000"/>
        </w:rPr>
        <w:t xml:space="preserve">Michele </w:t>
      </w:r>
      <w:proofErr w:type="spellStart"/>
      <w:r>
        <w:rPr>
          <w:rFonts w:ascii="Calibri" w:hAnsi="Calibri"/>
          <w:color w:val="000000"/>
        </w:rPr>
        <w:t>Mintz</w:t>
      </w:r>
      <w:proofErr w:type="spellEnd"/>
      <w:r>
        <w:rPr>
          <w:rFonts w:ascii="Calibri" w:hAnsi="Calibri"/>
          <w:color w:val="000000"/>
        </w:rPr>
        <w:t xml:space="preserve"> Brown</w:t>
      </w:r>
    </w:p>
    <w:p>
      <w:pPr>
        <w:spacing w:line="360" w:lineRule="auto"/>
        <w:rPr>
          <w:rFonts w:ascii="Calibri" w:hAnsi="Calibri"/>
          <w:color w:val="000000"/>
        </w:rPr>
      </w:pPr>
      <w:r>
        <w:rPr>
          <w:rFonts w:ascii="Calibri" w:hAnsi="Calibri"/>
          <w:caps/>
          <w:color w:val="000000"/>
        </w:rPr>
        <w:t>FY 2007 –</w:t>
      </w:r>
      <w:r>
        <w:rPr>
          <w:rFonts w:ascii="Calibri" w:hAnsi="Calibri"/>
          <w:color w:val="000000"/>
        </w:rPr>
        <w:t xml:space="preserve"> Michael Littlejohn</w:t>
      </w:r>
    </w:p>
    <w:p>
      <w:pPr>
        <w:spacing w:line="360" w:lineRule="auto"/>
      </w:pPr>
      <w:r>
        <w:rPr>
          <w:rFonts w:ascii="Calibri" w:hAnsi="Calibri"/>
          <w:caps/>
          <w:color w:val="000000"/>
        </w:rPr>
        <w:t>FY 2008</w:t>
      </w:r>
      <w:r>
        <w:t xml:space="preserve"> – </w:t>
      </w:r>
      <w:r>
        <w:rPr>
          <w:rFonts w:ascii="Calibri" w:hAnsi="Calibri"/>
          <w:color w:val="000000"/>
        </w:rPr>
        <w:t>Hon. Richard Walters</w:t>
      </w:r>
    </w:p>
    <w:p>
      <w:pPr>
        <w:spacing w:line="360" w:lineRule="auto"/>
      </w:pPr>
      <w:r>
        <w:rPr>
          <w:rFonts w:ascii="Calibri" w:hAnsi="Calibri"/>
          <w:caps/>
          <w:color w:val="000000"/>
        </w:rPr>
        <w:t>FY 2009</w:t>
      </w:r>
      <w:r>
        <w:t xml:space="preserve"> – </w:t>
      </w:r>
      <w:r>
        <w:rPr>
          <w:rFonts w:ascii="Calibri" w:hAnsi="Calibri"/>
          <w:color w:val="000000"/>
        </w:rPr>
        <w:t>David Nadler</w:t>
      </w:r>
    </w:p>
    <w:p>
      <w:pPr>
        <w:spacing w:line="360" w:lineRule="auto"/>
        <w:rPr>
          <w:rFonts w:ascii="Calibri" w:hAnsi="Calibri"/>
          <w:color w:val="000000"/>
        </w:rPr>
      </w:pPr>
      <w:r>
        <w:rPr>
          <w:rFonts w:ascii="Calibri" w:hAnsi="Calibri"/>
          <w:caps/>
          <w:color w:val="000000"/>
        </w:rPr>
        <w:t>FY 2010</w:t>
      </w:r>
      <w:r>
        <w:t xml:space="preserve"> – </w:t>
      </w:r>
      <w:r>
        <w:rPr>
          <w:rFonts w:ascii="Calibri" w:hAnsi="Calibri"/>
          <w:color w:val="000000"/>
        </w:rPr>
        <w:t>Susan Warshaw Ebner</w:t>
      </w:r>
    </w:p>
    <w:p>
      <w:pPr>
        <w:spacing w:line="360" w:lineRule="auto"/>
      </w:pPr>
      <w:r>
        <w:rPr>
          <w:rFonts w:ascii="Calibri" w:hAnsi="Calibri"/>
          <w:caps/>
          <w:color w:val="000000"/>
        </w:rPr>
        <w:t>FY 2011</w:t>
      </w:r>
      <w:r>
        <w:t xml:space="preserve"> – </w:t>
      </w:r>
      <w:r>
        <w:rPr>
          <w:rFonts w:ascii="Calibri" w:hAnsi="Calibri"/>
          <w:color w:val="000000"/>
        </w:rPr>
        <w:t>David Black</w:t>
      </w:r>
    </w:p>
    <w:p>
      <w:pPr>
        <w:spacing w:line="360" w:lineRule="auto"/>
        <w:rPr>
          <w:rFonts w:ascii="Calibri" w:hAnsi="Calibri"/>
          <w:color w:val="000000"/>
        </w:rPr>
      </w:pPr>
      <w:r>
        <w:rPr>
          <w:rFonts w:ascii="Calibri" w:hAnsi="Calibri"/>
          <w:caps/>
          <w:color w:val="000000"/>
        </w:rPr>
        <w:t>FY 2012</w:t>
      </w:r>
      <w:r>
        <w:t xml:space="preserve"> – </w:t>
      </w:r>
      <w:r>
        <w:rPr>
          <w:rFonts w:ascii="Calibri" w:hAnsi="Calibri"/>
          <w:color w:val="000000"/>
        </w:rPr>
        <w:t>Francis E. “Chip” Purcell</w:t>
      </w:r>
    </w:p>
    <w:p>
      <w:pPr>
        <w:spacing w:line="360" w:lineRule="auto"/>
        <w:rPr>
          <w:rFonts w:ascii="Calibri" w:hAnsi="Calibri"/>
          <w:color w:val="000000"/>
        </w:rPr>
      </w:pPr>
      <w:r>
        <w:rPr>
          <w:rFonts w:ascii="Calibri" w:hAnsi="Calibri"/>
          <w:caps/>
          <w:color w:val="000000"/>
        </w:rPr>
        <w:t xml:space="preserve">FY 2013 </w:t>
      </w:r>
      <w:r>
        <w:t xml:space="preserve">– </w:t>
      </w:r>
      <w:r>
        <w:rPr>
          <w:rFonts w:ascii="Calibri" w:hAnsi="Calibri"/>
          <w:color w:val="000000"/>
        </w:rPr>
        <w:t>Don Yenovkian</w:t>
      </w:r>
    </w:p>
    <w:p>
      <w:pPr>
        <w:spacing w:after="200" w:line="276" w:lineRule="auto"/>
        <w:rPr>
          <w:rStyle w:val="Strong"/>
          <w:rFonts w:ascii="Calibri" w:hAnsi="Calibri"/>
          <w:bCs w:val="0"/>
          <w:caps/>
          <w:color w:val="000000"/>
          <w:sz w:val="20"/>
          <w:szCs w:val="20"/>
          <w:u w:val="single"/>
        </w:rPr>
      </w:pPr>
      <w:r>
        <w:rPr>
          <w:rStyle w:val="Strong"/>
          <w:rFonts w:ascii="Calibri" w:hAnsi="Calibri"/>
          <w:bCs w:val="0"/>
          <w:caps/>
          <w:color w:val="000000"/>
          <w:sz w:val="20"/>
          <w:szCs w:val="20"/>
          <w:u w:val="single"/>
        </w:rPr>
        <w:br w:type="page"/>
      </w:r>
    </w:p>
    <w:p>
      <w:pPr>
        <w:jc w:val="center"/>
        <w:rPr>
          <w:rStyle w:val="Strong"/>
          <w:rFonts w:ascii="Calibri" w:hAnsi="Calibri"/>
          <w:caps/>
          <w:u w:val="single"/>
        </w:rPr>
      </w:pPr>
      <w:r>
        <w:rPr>
          <w:rStyle w:val="Strong"/>
          <w:rFonts w:ascii="Calibri" w:hAnsi="Calibri"/>
          <w:caps/>
          <w:u w:val="single"/>
        </w:rPr>
        <w:lastRenderedPageBreak/>
        <w:t>Life Service Award Recipients</w:t>
      </w:r>
    </w:p>
    <w:p>
      <w:pPr>
        <w:spacing w:before="240"/>
        <w:ind w:right="2952"/>
        <w:rPr>
          <w:rFonts w:ascii="Calibri" w:hAnsi="Calibri" w:cs="Arial"/>
          <w:b/>
          <w:spacing w:val="1"/>
        </w:rPr>
      </w:pPr>
      <w:r>
        <w:rPr>
          <w:rFonts w:ascii="Calibri" w:hAnsi="Calibri" w:cs="Arial"/>
          <w:b/>
          <w:spacing w:val="1"/>
        </w:rPr>
        <w:t xml:space="preserve">BCABA, Inc. Life Service Award recipients: </w:t>
      </w:r>
    </w:p>
    <w:p>
      <w:pPr>
        <w:ind w:right="2952"/>
        <w:rPr>
          <w:rFonts w:ascii="Calibri" w:hAnsi="Calibri" w:cs="Arial"/>
          <w:b/>
          <w:spacing w:val="1"/>
        </w:rPr>
      </w:pPr>
    </w:p>
    <w:p>
      <w:pPr>
        <w:numPr>
          <w:ilvl w:val="0"/>
          <w:numId w:val="33"/>
        </w:numPr>
        <w:autoSpaceDE w:val="0"/>
        <w:autoSpaceDN w:val="0"/>
        <w:adjustRightInd w:val="0"/>
        <w:rPr>
          <w:rFonts w:ascii="Calibri" w:hAnsi="Calibri"/>
        </w:rPr>
      </w:pPr>
      <w:r>
        <w:rPr>
          <w:rFonts w:ascii="Calibri" w:hAnsi="Calibri"/>
        </w:rPr>
        <w:t xml:space="preserve">2013 – </w:t>
      </w:r>
      <w:r>
        <w:rPr>
          <w:rFonts w:ascii="Calibri" w:hAnsi="Calibri"/>
          <w:b/>
          <w:bCs/>
        </w:rPr>
        <w:t>Michele Brown</w:t>
      </w:r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Leidos</w:t>
      </w:r>
      <w:proofErr w:type="spellEnd"/>
    </w:p>
    <w:p>
      <w:pPr>
        <w:autoSpaceDE w:val="0"/>
        <w:autoSpaceDN w:val="0"/>
        <w:adjustRightInd w:val="0"/>
        <w:ind w:left="360"/>
        <w:rPr>
          <w:rFonts w:ascii="Calibri" w:hAnsi="Calibri"/>
        </w:rPr>
      </w:pPr>
    </w:p>
    <w:p>
      <w:pPr>
        <w:numPr>
          <w:ilvl w:val="0"/>
          <w:numId w:val="33"/>
        </w:numPr>
        <w:autoSpaceDE w:val="0"/>
        <w:autoSpaceDN w:val="0"/>
        <w:adjustRightInd w:val="0"/>
        <w:rPr>
          <w:rFonts w:ascii="Calibri" w:hAnsi="Calibri"/>
        </w:rPr>
      </w:pPr>
      <w:r>
        <w:rPr>
          <w:rFonts w:ascii="Calibri" w:hAnsi="Calibri"/>
        </w:rPr>
        <w:t xml:space="preserve">2012 – </w:t>
      </w:r>
      <w:r>
        <w:rPr>
          <w:rFonts w:ascii="Calibri" w:hAnsi="Calibri"/>
          <w:b/>
          <w:bCs/>
        </w:rPr>
        <w:t>Thomas H. Gourlay</w:t>
      </w:r>
      <w:r>
        <w:rPr>
          <w:rFonts w:ascii="Calibri" w:hAnsi="Calibri"/>
        </w:rPr>
        <w:t>, Army Corps of Engineers</w:t>
      </w:r>
    </w:p>
    <w:p>
      <w:pPr>
        <w:autoSpaceDE w:val="0"/>
        <w:autoSpaceDN w:val="0"/>
        <w:adjustRightInd w:val="0"/>
        <w:ind w:left="360"/>
        <w:rPr>
          <w:rFonts w:ascii="Calibri" w:hAnsi="Calibri"/>
        </w:rPr>
      </w:pPr>
    </w:p>
    <w:p>
      <w:pPr>
        <w:numPr>
          <w:ilvl w:val="0"/>
          <w:numId w:val="33"/>
        </w:numPr>
        <w:autoSpaceDE w:val="0"/>
        <w:autoSpaceDN w:val="0"/>
        <w:adjustRightInd w:val="0"/>
        <w:rPr>
          <w:rFonts w:ascii="Calibri" w:hAnsi="Calibri"/>
        </w:rPr>
      </w:pPr>
      <w:r>
        <w:rPr>
          <w:rFonts w:ascii="Calibri" w:hAnsi="Calibri"/>
        </w:rPr>
        <w:t xml:space="preserve">2011 – </w:t>
      </w:r>
      <w:r>
        <w:rPr>
          <w:rFonts w:ascii="Calibri" w:hAnsi="Calibri"/>
          <w:b/>
          <w:bCs/>
        </w:rPr>
        <w:t>Hon. Carol Park-Conroy</w:t>
      </w:r>
      <w:r>
        <w:rPr>
          <w:rFonts w:ascii="Calibri" w:hAnsi="Calibri"/>
        </w:rPr>
        <w:t>, JAMS</w:t>
      </w:r>
    </w:p>
    <w:p>
      <w:pPr>
        <w:autoSpaceDE w:val="0"/>
        <w:autoSpaceDN w:val="0"/>
        <w:adjustRightInd w:val="0"/>
        <w:ind w:left="360"/>
        <w:rPr>
          <w:rFonts w:ascii="Calibri" w:hAnsi="Calibri"/>
        </w:rPr>
      </w:pPr>
    </w:p>
    <w:p>
      <w:pPr>
        <w:numPr>
          <w:ilvl w:val="0"/>
          <w:numId w:val="33"/>
        </w:numPr>
        <w:autoSpaceDE w:val="0"/>
        <w:autoSpaceDN w:val="0"/>
        <w:adjustRightInd w:val="0"/>
        <w:rPr>
          <w:rFonts w:ascii="Calibri" w:hAnsi="Calibri"/>
        </w:rPr>
      </w:pPr>
      <w:r>
        <w:rPr>
          <w:rFonts w:ascii="Calibri" w:hAnsi="Calibri"/>
        </w:rPr>
        <w:t xml:space="preserve">2010 – </w:t>
      </w:r>
      <w:r>
        <w:rPr>
          <w:rFonts w:ascii="Calibri" w:hAnsi="Calibri"/>
          <w:b/>
          <w:bCs/>
        </w:rPr>
        <w:t>Susan Warshaw Ebner</w:t>
      </w:r>
      <w:r>
        <w:rPr>
          <w:rFonts w:ascii="Calibri" w:hAnsi="Calibri"/>
        </w:rPr>
        <w:t>, Buchanan, Ingersoll &amp; Rooney</w:t>
      </w:r>
    </w:p>
    <w:p>
      <w:pPr>
        <w:autoSpaceDE w:val="0"/>
        <w:autoSpaceDN w:val="0"/>
        <w:adjustRightInd w:val="0"/>
        <w:ind w:left="360"/>
        <w:rPr>
          <w:rFonts w:ascii="Calibri" w:hAnsi="Calibri"/>
        </w:rPr>
      </w:pPr>
    </w:p>
    <w:p>
      <w:pPr>
        <w:numPr>
          <w:ilvl w:val="0"/>
          <w:numId w:val="33"/>
        </w:numPr>
        <w:autoSpaceDE w:val="0"/>
        <w:autoSpaceDN w:val="0"/>
        <w:adjustRightInd w:val="0"/>
        <w:rPr>
          <w:rFonts w:ascii="Calibri" w:hAnsi="Calibri"/>
        </w:rPr>
      </w:pPr>
      <w:r>
        <w:rPr>
          <w:rFonts w:ascii="Calibri" w:hAnsi="Calibri"/>
        </w:rPr>
        <w:t xml:space="preserve">2009 – </w:t>
      </w:r>
      <w:r>
        <w:rPr>
          <w:rFonts w:ascii="Calibri" w:hAnsi="Calibri"/>
          <w:b/>
          <w:bCs/>
        </w:rPr>
        <w:t>James J. McCullough</w:t>
      </w:r>
      <w:r>
        <w:rPr>
          <w:rFonts w:ascii="Calibri" w:hAnsi="Calibri"/>
        </w:rPr>
        <w:t>, Fried, Frank, Harris, Shriver &amp; Jacobson</w:t>
      </w:r>
    </w:p>
    <w:p>
      <w:pPr>
        <w:autoSpaceDE w:val="0"/>
        <w:autoSpaceDN w:val="0"/>
        <w:adjustRightInd w:val="0"/>
        <w:ind w:left="360"/>
        <w:rPr>
          <w:rFonts w:ascii="Calibri" w:hAnsi="Calibri"/>
        </w:rPr>
      </w:pPr>
    </w:p>
    <w:p>
      <w:pPr>
        <w:numPr>
          <w:ilvl w:val="0"/>
          <w:numId w:val="33"/>
        </w:numPr>
        <w:autoSpaceDE w:val="0"/>
        <w:autoSpaceDN w:val="0"/>
        <w:adjustRightInd w:val="0"/>
        <w:rPr>
          <w:rFonts w:ascii="Calibri" w:hAnsi="Calibri"/>
        </w:rPr>
      </w:pPr>
      <w:r>
        <w:rPr>
          <w:rFonts w:ascii="Calibri" w:hAnsi="Calibri"/>
        </w:rPr>
        <w:t xml:space="preserve">2008 – </w:t>
      </w:r>
      <w:r>
        <w:rPr>
          <w:rFonts w:ascii="Calibri" w:hAnsi="Calibri"/>
          <w:b/>
          <w:bCs/>
        </w:rPr>
        <w:t>Hon. Richard Walters</w:t>
      </w:r>
      <w:r>
        <w:rPr>
          <w:rFonts w:ascii="Calibri" w:hAnsi="Calibri"/>
        </w:rPr>
        <w:t>, CBCA</w:t>
      </w:r>
    </w:p>
    <w:p>
      <w:pPr>
        <w:autoSpaceDE w:val="0"/>
        <w:autoSpaceDN w:val="0"/>
        <w:adjustRightInd w:val="0"/>
        <w:ind w:left="360"/>
        <w:rPr>
          <w:rFonts w:ascii="Calibri" w:hAnsi="Calibri"/>
        </w:rPr>
      </w:pPr>
    </w:p>
    <w:p>
      <w:pPr>
        <w:numPr>
          <w:ilvl w:val="0"/>
          <w:numId w:val="33"/>
        </w:numPr>
        <w:autoSpaceDE w:val="0"/>
        <w:autoSpaceDN w:val="0"/>
        <w:adjustRightInd w:val="0"/>
        <w:rPr>
          <w:rFonts w:ascii="Calibri" w:hAnsi="Calibri"/>
        </w:rPr>
      </w:pPr>
      <w:r>
        <w:rPr>
          <w:rFonts w:ascii="Calibri" w:hAnsi="Calibri"/>
        </w:rPr>
        <w:t xml:space="preserve">2007 – </w:t>
      </w:r>
      <w:r>
        <w:rPr>
          <w:rFonts w:ascii="Calibri" w:hAnsi="Calibri"/>
          <w:b/>
          <w:bCs/>
        </w:rPr>
        <w:t>No selection</w:t>
      </w:r>
    </w:p>
    <w:p>
      <w:pPr>
        <w:autoSpaceDE w:val="0"/>
        <w:autoSpaceDN w:val="0"/>
        <w:adjustRightInd w:val="0"/>
        <w:ind w:left="360"/>
        <w:rPr>
          <w:rFonts w:ascii="Calibri" w:hAnsi="Calibri"/>
        </w:rPr>
      </w:pPr>
    </w:p>
    <w:p>
      <w:pPr>
        <w:numPr>
          <w:ilvl w:val="0"/>
          <w:numId w:val="33"/>
        </w:numPr>
        <w:autoSpaceDE w:val="0"/>
        <w:autoSpaceDN w:val="0"/>
        <w:adjustRightInd w:val="0"/>
        <w:rPr>
          <w:rFonts w:ascii="Calibri" w:hAnsi="Calibri"/>
        </w:rPr>
      </w:pPr>
      <w:r>
        <w:rPr>
          <w:rFonts w:ascii="Calibri" w:hAnsi="Calibri"/>
        </w:rPr>
        <w:t xml:space="preserve">2006 – </w:t>
      </w:r>
      <w:r>
        <w:rPr>
          <w:rFonts w:ascii="Calibri" w:hAnsi="Calibri"/>
          <w:b/>
          <w:bCs/>
        </w:rPr>
        <w:t>Clarence D. Long</w:t>
      </w:r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USAFLSA</w:t>
      </w:r>
      <w:proofErr w:type="spellEnd"/>
      <w:r>
        <w:rPr>
          <w:rFonts w:ascii="Calibri" w:hAnsi="Calibri"/>
        </w:rPr>
        <w:t>/</w:t>
      </w:r>
      <w:proofErr w:type="spellStart"/>
      <w:r>
        <w:rPr>
          <w:rFonts w:ascii="Calibri" w:hAnsi="Calibri"/>
        </w:rPr>
        <w:t>JACN</w:t>
      </w:r>
      <w:proofErr w:type="spellEnd"/>
      <w:r>
        <w:rPr>
          <w:rFonts w:ascii="Calibri" w:hAnsi="Calibri"/>
        </w:rPr>
        <w:t xml:space="preserve"> </w:t>
      </w:r>
    </w:p>
    <w:p>
      <w:pPr>
        <w:autoSpaceDE w:val="0"/>
        <w:autoSpaceDN w:val="0"/>
        <w:adjustRightInd w:val="0"/>
        <w:ind w:left="360"/>
        <w:rPr>
          <w:rFonts w:ascii="Calibri" w:hAnsi="Calibri"/>
        </w:rPr>
      </w:pPr>
    </w:p>
    <w:p>
      <w:pPr>
        <w:numPr>
          <w:ilvl w:val="0"/>
          <w:numId w:val="33"/>
        </w:numPr>
        <w:autoSpaceDE w:val="0"/>
        <w:autoSpaceDN w:val="0"/>
        <w:adjustRightInd w:val="0"/>
        <w:rPr>
          <w:rFonts w:ascii="Calibri" w:hAnsi="Calibri"/>
        </w:rPr>
      </w:pPr>
      <w:r>
        <w:rPr>
          <w:rFonts w:ascii="Calibri" w:hAnsi="Calibri"/>
        </w:rPr>
        <w:t xml:space="preserve">2005 – </w:t>
      </w:r>
      <w:r>
        <w:rPr>
          <w:rFonts w:ascii="Calibri" w:hAnsi="Calibri"/>
          <w:b/>
          <w:bCs/>
        </w:rPr>
        <w:t>James F. Nagle</w:t>
      </w:r>
      <w:r>
        <w:rPr>
          <w:rFonts w:ascii="Calibri" w:hAnsi="Calibri"/>
        </w:rPr>
        <w:t xml:space="preserve">, </w:t>
      </w:r>
      <w:proofErr w:type="spellStart"/>
      <w:r>
        <w:rPr>
          <w:rFonts w:ascii="Calibri" w:hAnsi="Calibri"/>
        </w:rPr>
        <w:t>Oles</w:t>
      </w:r>
      <w:proofErr w:type="spellEnd"/>
      <w:r>
        <w:rPr>
          <w:rFonts w:ascii="Calibri" w:hAnsi="Calibri"/>
        </w:rPr>
        <w:t xml:space="preserve">, Morrison, Rinker &amp; Baker </w:t>
      </w:r>
    </w:p>
    <w:p>
      <w:pPr>
        <w:autoSpaceDE w:val="0"/>
        <w:autoSpaceDN w:val="0"/>
        <w:adjustRightInd w:val="0"/>
        <w:ind w:left="360"/>
        <w:rPr>
          <w:rFonts w:ascii="Calibri" w:hAnsi="Calibri"/>
        </w:rPr>
      </w:pPr>
    </w:p>
    <w:p>
      <w:pPr>
        <w:numPr>
          <w:ilvl w:val="0"/>
          <w:numId w:val="33"/>
        </w:numPr>
        <w:autoSpaceDE w:val="0"/>
        <w:autoSpaceDN w:val="0"/>
        <w:adjustRightInd w:val="0"/>
        <w:rPr>
          <w:rFonts w:ascii="Calibri" w:hAnsi="Calibri"/>
        </w:rPr>
      </w:pPr>
      <w:r>
        <w:rPr>
          <w:rFonts w:ascii="Calibri" w:hAnsi="Calibri"/>
        </w:rPr>
        <w:t xml:space="preserve">2004 – </w:t>
      </w:r>
      <w:r>
        <w:rPr>
          <w:rFonts w:ascii="Calibri" w:hAnsi="Calibri"/>
          <w:b/>
          <w:bCs/>
        </w:rPr>
        <w:t>Hon. Stephen Daniels</w:t>
      </w:r>
      <w:r>
        <w:rPr>
          <w:rFonts w:ascii="Calibri" w:hAnsi="Calibri"/>
        </w:rPr>
        <w:t xml:space="preserve">, CBCA </w:t>
      </w:r>
    </w:p>
    <w:p>
      <w:pPr>
        <w:autoSpaceDE w:val="0"/>
        <w:autoSpaceDN w:val="0"/>
        <w:adjustRightInd w:val="0"/>
        <w:ind w:left="360"/>
        <w:rPr>
          <w:rFonts w:ascii="Calibri" w:hAnsi="Calibri"/>
        </w:rPr>
      </w:pPr>
    </w:p>
    <w:p>
      <w:pPr>
        <w:numPr>
          <w:ilvl w:val="0"/>
          <w:numId w:val="33"/>
        </w:numPr>
        <w:autoSpaceDE w:val="0"/>
        <w:autoSpaceDN w:val="0"/>
        <w:adjustRightInd w:val="0"/>
        <w:rPr>
          <w:rFonts w:ascii="Calibri" w:hAnsi="Calibri"/>
        </w:rPr>
      </w:pPr>
      <w:r>
        <w:rPr>
          <w:rFonts w:ascii="Calibri" w:hAnsi="Calibri"/>
        </w:rPr>
        <w:t xml:space="preserve">2003 - </w:t>
      </w:r>
      <w:r>
        <w:rPr>
          <w:rFonts w:ascii="Calibri" w:hAnsi="Calibri"/>
          <w:b/>
          <w:bCs/>
        </w:rPr>
        <w:t>Hon. Paul Williams</w:t>
      </w:r>
      <w:r>
        <w:rPr>
          <w:rFonts w:ascii="Calibri" w:hAnsi="Calibri"/>
        </w:rPr>
        <w:t xml:space="preserve">, ASBCA </w:t>
      </w:r>
    </w:p>
    <w:p>
      <w:pPr>
        <w:autoSpaceDE w:val="0"/>
        <w:autoSpaceDN w:val="0"/>
        <w:adjustRightInd w:val="0"/>
        <w:ind w:left="360"/>
        <w:rPr>
          <w:rFonts w:ascii="Calibri" w:hAnsi="Calibri"/>
        </w:rPr>
      </w:pPr>
    </w:p>
    <w:p>
      <w:pPr>
        <w:numPr>
          <w:ilvl w:val="0"/>
          <w:numId w:val="33"/>
        </w:numPr>
        <w:autoSpaceDE w:val="0"/>
        <w:autoSpaceDN w:val="0"/>
        <w:adjustRightInd w:val="0"/>
        <w:rPr>
          <w:rFonts w:ascii="Calibri" w:hAnsi="Calibri"/>
        </w:rPr>
      </w:pPr>
      <w:r>
        <w:rPr>
          <w:rFonts w:ascii="Calibri" w:hAnsi="Calibri"/>
        </w:rPr>
        <w:t xml:space="preserve">2002 – </w:t>
      </w:r>
      <w:r>
        <w:rPr>
          <w:rFonts w:ascii="Calibri" w:hAnsi="Calibri"/>
          <w:b/>
          <w:bCs/>
        </w:rPr>
        <w:t>David Metzger</w:t>
      </w:r>
      <w:r>
        <w:rPr>
          <w:rFonts w:ascii="Calibri" w:hAnsi="Calibri"/>
        </w:rPr>
        <w:t>, Arnold &amp; Porter</w:t>
      </w:r>
    </w:p>
    <w:p>
      <w:pPr>
        <w:autoSpaceDE w:val="0"/>
        <w:autoSpaceDN w:val="0"/>
        <w:adjustRightInd w:val="0"/>
        <w:ind w:left="360"/>
        <w:rPr>
          <w:rFonts w:ascii="Calibri" w:hAnsi="Calibri"/>
        </w:rPr>
      </w:pPr>
    </w:p>
    <w:p>
      <w:pPr>
        <w:numPr>
          <w:ilvl w:val="0"/>
          <w:numId w:val="33"/>
        </w:numPr>
        <w:autoSpaceDE w:val="0"/>
        <w:autoSpaceDN w:val="0"/>
        <w:adjustRightInd w:val="0"/>
        <w:rPr>
          <w:rFonts w:ascii="Calibri" w:hAnsi="Calibri"/>
        </w:rPr>
      </w:pPr>
      <w:r>
        <w:rPr>
          <w:rFonts w:ascii="Calibri" w:hAnsi="Calibri"/>
        </w:rPr>
        <w:t xml:space="preserve">2001 – </w:t>
      </w:r>
      <w:r>
        <w:rPr>
          <w:rFonts w:ascii="Calibri" w:hAnsi="Calibri"/>
          <w:b/>
          <w:bCs/>
        </w:rPr>
        <w:t>Peter A. McDonald</w:t>
      </w:r>
      <w:r>
        <w:rPr>
          <w:rFonts w:ascii="Calibri" w:hAnsi="Calibri"/>
        </w:rPr>
        <w:t>, Navigant</w:t>
      </w:r>
    </w:p>
    <w:p>
      <w:pPr>
        <w:autoSpaceDE w:val="0"/>
        <w:autoSpaceDN w:val="0"/>
        <w:adjustRightInd w:val="0"/>
        <w:ind w:left="360"/>
        <w:rPr>
          <w:rFonts w:ascii="Calibri" w:hAnsi="Calibri"/>
        </w:rPr>
      </w:pPr>
    </w:p>
    <w:p>
      <w:pPr>
        <w:numPr>
          <w:ilvl w:val="0"/>
          <w:numId w:val="33"/>
        </w:numPr>
        <w:autoSpaceDE w:val="0"/>
        <w:autoSpaceDN w:val="0"/>
        <w:adjustRightInd w:val="0"/>
        <w:rPr>
          <w:rFonts w:ascii="Calibri" w:hAnsi="Calibri"/>
        </w:rPr>
      </w:pPr>
      <w:r>
        <w:rPr>
          <w:rFonts w:ascii="Calibri" w:hAnsi="Calibri"/>
        </w:rPr>
        <w:t xml:space="preserve">2000 – </w:t>
      </w:r>
      <w:r>
        <w:rPr>
          <w:rFonts w:ascii="Calibri" w:hAnsi="Calibri"/>
          <w:b/>
          <w:bCs/>
        </w:rPr>
        <w:t xml:space="preserve">Hon. Ronald A. </w:t>
      </w:r>
      <w:proofErr w:type="spellStart"/>
      <w:r>
        <w:rPr>
          <w:rFonts w:ascii="Calibri" w:hAnsi="Calibri"/>
          <w:b/>
          <w:bCs/>
        </w:rPr>
        <w:t>Kienlen</w:t>
      </w:r>
      <w:proofErr w:type="spellEnd"/>
      <w:r>
        <w:rPr>
          <w:rFonts w:ascii="Calibri" w:hAnsi="Calibri"/>
        </w:rPr>
        <w:t xml:space="preserve">, ASBCA </w:t>
      </w:r>
    </w:p>
    <w:p>
      <w:pPr>
        <w:autoSpaceDE w:val="0"/>
        <w:autoSpaceDN w:val="0"/>
        <w:adjustRightInd w:val="0"/>
        <w:rPr>
          <w:rFonts w:ascii="Calibri" w:hAnsi="Calibri"/>
        </w:rPr>
      </w:pPr>
    </w:p>
    <w:p>
      <w:pPr>
        <w:autoSpaceDE w:val="0"/>
        <w:autoSpaceDN w:val="0"/>
        <w:adjustRightInd w:val="0"/>
        <w:rPr>
          <w:rFonts w:ascii="Calibri" w:hAnsi="Calibri"/>
        </w:rPr>
        <w:sectPr>
          <w:headerReference w:type="even" r:id="rId20"/>
          <w:headerReference w:type="default" r:id="rId21"/>
          <w:footerReference w:type="even" r:id="rId22"/>
          <w:footerReference w:type="default" r:id="rId23"/>
          <w:pgSz w:w="12240" w:h="15840"/>
          <w:pgMar w:top="1440" w:right="1440" w:bottom="1440" w:left="1440" w:header="0" w:footer="475" w:gutter="0"/>
          <w:cols w:space="720"/>
          <w:noEndnote/>
        </w:sectPr>
      </w:pPr>
    </w:p>
    <w:p>
      <w:pPr>
        <w:rPr>
          <w:rFonts w:ascii="Calibri" w:hAnsi="Calibri"/>
          <w:b/>
          <w:bCs/>
          <w:color w:val="000000"/>
          <w:sz w:val="20"/>
          <w:szCs w:val="20"/>
          <w:u w:val="single"/>
        </w:rPr>
      </w:pPr>
    </w:p>
    <w:p>
      <w:pPr>
        <w:jc w:val="center"/>
        <w:rPr>
          <w:rStyle w:val="Strong"/>
          <w:rFonts w:ascii="Calibri" w:hAnsi="Calibri"/>
          <w:caps/>
          <w:u w:val="single"/>
        </w:rPr>
      </w:pPr>
      <w:r>
        <w:rPr>
          <w:rStyle w:val="Strong"/>
          <w:rFonts w:ascii="Calibri" w:hAnsi="Calibri"/>
          <w:caps/>
          <w:u w:val="single"/>
        </w:rPr>
        <w:t>PRESIDENT'S Award Recipients</w:t>
      </w:r>
    </w:p>
    <w:p>
      <w:pPr>
        <w:rPr>
          <w:rStyle w:val="Strong"/>
          <w:rFonts w:ascii="Calibri" w:hAnsi="Calibri"/>
          <w:b w:val="0"/>
          <w:caps/>
          <w:sz w:val="20"/>
          <w:szCs w:val="20"/>
        </w:rPr>
      </w:pPr>
    </w:p>
    <w:p>
      <w:pPr>
        <w:spacing w:before="324" w:line="416" w:lineRule="exact"/>
        <w:ind w:right="2952"/>
        <w:rPr>
          <w:rFonts w:ascii="Calibri" w:hAnsi="Calibri" w:cs="Arial"/>
          <w:b/>
          <w:spacing w:val="1"/>
        </w:rPr>
      </w:pPr>
      <w:r>
        <w:rPr>
          <w:rFonts w:ascii="Calibri" w:hAnsi="Calibri" w:cs="Arial"/>
          <w:b/>
          <w:spacing w:val="1"/>
        </w:rPr>
        <w:t xml:space="preserve">BCABA, Inc. President's Award recipients: </w:t>
      </w:r>
    </w:p>
    <w:p>
      <w:pPr>
        <w:spacing w:before="240"/>
        <w:ind w:right="2880"/>
        <w:rPr>
          <w:rFonts w:ascii="Calibri" w:hAnsi="Calibri" w:cs="Arial"/>
          <w:spacing w:val="7"/>
        </w:rPr>
      </w:pPr>
      <w:r>
        <w:rPr>
          <w:rFonts w:ascii="Calibri" w:hAnsi="Calibri" w:cs="Arial"/>
          <w:spacing w:val="7"/>
        </w:rPr>
        <w:t xml:space="preserve">2012 - </w:t>
      </w:r>
      <w:r>
        <w:rPr>
          <w:rFonts w:ascii="Calibri" w:hAnsi="Calibri" w:cs="Arial"/>
          <w:bCs/>
          <w:spacing w:val="7"/>
        </w:rPr>
        <w:t>Daniel J. Strouse</w:t>
      </w:r>
      <w:r>
        <w:rPr>
          <w:rFonts w:ascii="Calibri" w:hAnsi="Calibri" w:cs="Arial"/>
          <w:spacing w:val="7"/>
        </w:rPr>
        <w:t xml:space="preserve">, Cohen Mohr LLP </w:t>
      </w:r>
    </w:p>
    <w:p>
      <w:pPr>
        <w:spacing w:before="240"/>
        <w:ind w:right="2880"/>
        <w:rPr>
          <w:rFonts w:ascii="Calibri" w:hAnsi="Calibri" w:cs="Arial"/>
          <w:spacing w:val="7"/>
        </w:rPr>
      </w:pPr>
      <w:r>
        <w:rPr>
          <w:rFonts w:ascii="Calibri" w:hAnsi="Calibri" w:cs="Arial"/>
          <w:spacing w:val="7"/>
        </w:rPr>
        <w:t>2011 - Ryan E. Roberts, Sheppard Mullin Richter &amp; Hampton</w:t>
      </w:r>
    </w:p>
    <w:p>
      <w:pPr>
        <w:spacing w:before="240"/>
        <w:ind w:right="2880"/>
        <w:rPr>
          <w:rFonts w:ascii="Calibri" w:hAnsi="Calibri" w:cs="Arial"/>
          <w:spacing w:val="7"/>
        </w:rPr>
      </w:pPr>
      <w:r>
        <w:rPr>
          <w:rFonts w:ascii="Calibri" w:hAnsi="Calibri" w:cs="Arial"/>
          <w:spacing w:val="7"/>
        </w:rPr>
        <w:t>2010 - Thomas H. Gourlay, Army Corps of Engineers</w:t>
      </w:r>
    </w:p>
    <w:p>
      <w:pPr>
        <w:spacing w:before="240"/>
        <w:ind w:right="2880"/>
        <w:rPr>
          <w:rFonts w:ascii="Calibri" w:hAnsi="Calibri" w:cs="Arial"/>
          <w:spacing w:val="7"/>
        </w:rPr>
      </w:pPr>
      <w:r>
        <w:rPr>
          <w:rFonts w:ascii="Calibri" w:hAnsi="Calibri" w:cs="Arial"/>
          <w:spacing w:val="7"/>
        </w:rPr>
        <w:t>2009 - Peter A. McDonald, Navigant</w:t>
      </w:r>
    </w:p>
    <w:p>
      <w:pPr>
        <w:spacing w:before="240" w:after="120"/>
        <w:ind w:right="2880"/>
        <w:rPr>
          <w:rFonts w:ascii="Calibri" w:hAnsi="Calibri" w:cs="Arial"/>
          <w:spacing w:val="7"/>
        </w:rPr>
      </w:pPr>
      <w:r>
        <w:rPr>
          <w:rFonts w:ascii="Calibri" w:hAnsi="Calibri" w:cs="Arial"/>
          <w:spacing w:val="7"/>
        </w:rPr>
        <w:t xml:space="preserve">2008 - Shelley </w:t>
      </w:r>
      <w:proofErr w:type="spellStart"/>
      <w:r>
        <w:rPr>
          <w:rFonts w:ascii="Calibri" w:hAnsi="Calibri" w:cs="Arial"/>
          <w:spacing w:val="7"/>
        </w:rPr>
        <w:t>Ewald</w:t>
      </w:r>
      <w:proofErr w:type="spellEnd"/>
      <w:r>
        <w:rPr>
          <w:rFonts w:ascii="Calibri" w:hAnsi="Calibri" w:cs="Arial"/>
          <w:spacing w:val="7"/>
        </w:rPr>
        <w:t xml:space="preserve">, Watt </w:t>
      </w:r>
      <w:proofErr w:type="spellStart"/>
      <w:r>
        <w:rPr>
          <w:rFonts w:ascii="Calibri" w:hAnsi="Calibri" w:cs="Arial"/>
          <w:spacing w:val="7"/>
        </w:rPr>
        <w:t>Tieder</w:t>
      </w:r>
      <w:proofErr w:type="spellEnd"/>
      <w:r>
        <w:rPr>
          <w:rFonts w:ascii="Calibri" w:hAnsi="Calibri" w:cs="Arial"/>
          <w:spacing w:val="7"/>
        </w:rPr>
        <w:t xml:space="preserve"> </w:t>
      </w:r>
      <w:proofErr w:type="spellStart"/>
      <w:r>
        <w:rPr>
          <w:rFonts w:ascii="Calibri" w:hAnsi="Calibri" w:cs="Arial"/>
          <w:spacing w:val="7"/>
        </w:rPr>
        <w:t>Hoffar</w:t>
      </w:r>
      <w:proofErr w:type="spellEnd"/>
      <w:r>
        <w:rPr>
          <w:rFonts w:ascii="Calibri" w:hAnsi="Calibri" w:cs="Arial"/>
          <w:spacing w:val="7"/>
        </w:rPr>
        <w:t xml:space="preserve"> &amp; Fitzgerald;</w:t>
      </w:r>
    </w:p>
    <w:p>
      <w:pPr>
        <w:ind w:right="2880" w:firstLine="720"/>
        <w:rPr>
          <w:rFonts w:ascii="Calibri" w:hAnsi="Calibri" w:cs="Arial"/>
          <w:spacing w:val="7"/>
        </w:rPr>
      </w:pPr>
      <w:r>
        <w:rPr>
          <w:rFonts w:ascii="Calibri" w:hAnsi="Calibri" w:cs="Arial"/>
          <w:spacing w:val="7"/>
        </w:rPr>
        <w:t xml:space="preserve">Jennifer </w:t>
      </w:r>
      <w:proofErr w:type="spellStart"/>
      <w:r>
        <w:rPr>
          <w:rFonts w:ascii="Calibri" w:hAnsi="Calibri" w:cs="Arial"/>
          <w:spacing w:val="7"/>
        </w:rPr>
        <w:t>Zucker</w:t>
      </w:r>
      <w:proofErr w:type="spellEnd"/>
      <w:r>
        <w:rPr>
          <w:rFonts w:ascii="Calibri" w:hAnsi="Calibri" w:cs="Arial"/>
          <w:spacing w:val="7"/>
        </w:rPr>
        <w:t>, Patton Boggs</w:t>
      </w:r>
    </w:p>
    <w:p>
      <w:pPr>
        <w:spacing w:before="240"/>
        <w:ind w:right="1440"/>
        <w:rPr>
          <w:rFonts w:ascii="Calibri" w:hAnsi="Calibri" w:cs="Arial"/>
          <w:spacing w:val="7"/>
        </w:rPr>
      </w:pPr>
      <w:r>
        <w:rPr>
          <w:rFonts w:ascii="Calibri" w:hAnsi="Calibri" w:cs="Arial"/>
          <w:spacing w:val="7"/>
        </w:rPr>
        <w:t>2007 - James J. McCullough, Fried, Frank, Harris, Shriver &amp; Jacobson</w:t>
      </w:r>
    </w:p>
    <w:p>
      <w:pPr>
        <w:spacing w:before="240"/>
        <w:ind w:right="2880"/>
        <w:rPr>
          <w:rFonts w:ascii="Calibri" w:hAnsi="Calibri" w:cs="Arial"/>
          <w:spacing w:val="7"/>
        </w:rPr>
      </w:pPr>
      <w:r>
        <w:rPr>
          <w:rFonts w:ascii="Calibri" w:hAnsi="Calibri" w:cs="Arial"/>
          <w:spacing w:val="7"/>
        </w:rPr>
        <w:t xml:space="preserve">2006 - Michele Brown, </w:t>
      </w:r>
      <w:proofErr w:type="spellStart"/>
      <w:r>
        <w:rPr>
          <w:rFonts w:ascii="Calibri" w:hAnsi="Calibri" w:cs="Arial"/>
          <w:spacing w:val="7"/>
        </w:rPr>
        <w:t>Leidos</w:t>
      </w:r>
      <w:proofErr w:type="spellEnd"/>
    </w:p>
    <w:p>
      <w:pPr>
        <w:rPr>
          <w:rStyle w:val="Strong"/>
          <w:rFonts w:ascii="Calibri" w:hAnsi="Calibri"/>
          <w:b w:val="0"/>
          <w:bCs w:val="0"/>
          <w:color w:val="000000"/>
        </w:rPr>
      </w:pPr>
    </w:p>
    <w:p>
      <w:pPr>
        <w:rPr>
          <w:rStyle w:val="Strong"/>
          <w:rFonts w:ascii="Calibri" w:hAnsi="Calibri"/>
          <w:b w:val="0"/>
          <w:bCs w:val="0"/>
          <w:color w:val="000000"/>
        </w:rPr>
      </w:pPr>
    </w:p>
    <w:p>
      <w:pPr>
        <w:rPr>
          <w:rStyle w:val="Strong"/>
          <w:rFonts w:ascii="Calibri" w:hAnsi="Calibri"/>
          <w:b w:val="0"/>
          <w:bCs w:val="0"/>
          <w:color w:val="000000"/>
        </w:rPr>
      </w:pPr>
    </w:p>
    <w:p>
      <w:pPr>
        <w:rPr>
          <w:rStyle w:val="Strong"/>
          <w:rFonts w:ascii="Calibri" w:hAnsi="Calibri"/>
          <w:b w:val="0"/>
          <w:bCs w:val="0"/>
          <w:color w:val="000000"/>
        </w:rPr>
      </w:pPr>
    </w:p>
    <w:p>
      <w:pPr>
        <w:jc w:val="center"/>
        <w:rPr>
          <w:rStyle w:val="Strong"/>
          <w:rFonts w:ascii="Calibri" w:hAnsi="Calibri"/>
          <w:caps/>
          <w:u w:val="single"/>
        </w:rPr>
      </w:pPr>
      <w:r>
        <w:rPr>
          <w:rStyle w:val="Strong"/>
          <w:rFonts w:ascii="Calibri" w:hAnsi="Calibri"/>
          <w:b w:val="0"/>
          <w:bCs w:val="0"/>
          <w:color w:val="000000"/>
          <w:sz w:val="32"/>
          <w:szCs w:val="32"/>
        </w:rPr>
        <w:br w:type="page"/>
      </w:r>
      <w:r>
        <w:rPr>
          <w:rStyle w:val="Strong"/>
          <w:rFonts w:ascii="Calibri" w:hAnsi="Calibri"/>
          <w:caps/>
          <w:u w:val="single"/>
        </w:rPr>
        <w:lastRenderedPageBreak/>
        <w:t>gold medal firms</w:t>
      </w:r>
    </w:p>
    <w:p>
      <w:pPr>
        <w:jc w:val="center"/>
        <w:rPr>
          <w:rStyle w:val="Strong"/>
          <w:rFonts w:ascii="Calibri" w:hAnsi="Calibri"/>
          <w:caps/>
          <w:u w:val="single"/>
        </w:rPr>
      </w:pPr>
    </w:p>
    <w:p>
      <w:pPr>
        <w:rPr>
          <w:rStyle w:val="Strong"/>
          <w:rFonts w:ascii="Calibri" w:hAnsi="Calibri"/>
          <w:b w:val="0"/>
        </w:rPr>
      </w:pPr>
      <w:r>
        <w:rPr>
          <w:rStyle w:val="Strong"/>
          <w:rFonts w:ascii="Calibri" w:hAnsi="Calibri"/>
          <w:b w:val="0"/>
        </w:rPr>
        <w:t>The following firms have a 100% BCABA membership rate among their government contracts practice:</w:t>
      </w:r>
    </w:p>
    <w:p>
      <w:pPr>
        <w:spacing w:line="480" w:lineRule="auto"/>
        <w:rPr>
          <w:rStyle w:val="Strong"/>
          <w:rFonts w:ascii="Calibri" w:hAnsi="Calibri"/>
          <w:b w:val="0"/>
        </w:rPr>
      </w:pPr>
    </w:p>
    <w:p>
      <w:pPr>
        <w:spacing w:line="276" w:lineRule="auto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Arnold &amp; Porter LLP</w:t>
      </w:r>
    </w:p>
    <w:p>
      <w:pPr>
        <w:spacing w:line="276" w:lineRule="auto"/>
        <w:rPr>
          <w:rFonts w:ascii="Calibri" w:hAnsi="Calibri"/>
          <w:sz w:val="28"/>
          <w:szCs w:val="28"/>
        </w:rPr>
      </w:pPr>
      <w:proofErr w:type="spellStart"/>
      <w:r>
        <w:rPr>
          <w:rFonts w:ascii="Calibri" w:hAnsi="Calibri"/>
          <w:sz w:val="28"/>
          <w:szCs w:val="28"/>
        </w:rPr>
        <w:t>Asmar</w:t>
      </w:r>
      <w:proofErr w:type="spellEnd"/>
      <w:r>
        <w:rPr>
          <w:rFonts w:ascii="Calibri" w:hAnsi="Calibri"/>
          <w:sz w:val="28"/>
          <w:szCs w:val="28"/>
        </w:rPr>
        <w:t xml:space="preserve">, </w:t>
      </w:r>
      <w:proofErr w:type="spellStart"/>
      <w:r>
        <w:rPr>
          <w:rFonts w:ascii="Calibri" w:hAnsi="Calibri"/>
          <w:sz w:val="28"/>
          <w:szCs w:val="28"/>
        </w:rPr>
        <w:t>Schor</w:t>
      </w:r>
      <w:proofErr w:type="spellEnd"/>
      <w:r>
        <w:rPr>
          <w:rFonts w:ascii="Calibri" w:hAnsi="Calibri"/>
          <w:sz w:val="28"/>
          <w:szCs w:val="28"/>
        </w:rPr>
        <w:t xml:space="preserve"> &amp; McKenna </w:t>
      </w:r>
      <w:proofErr w:type="spellStart"/>
      <w:r>
        <w:rPr>
          <w:rFonts w:ascii="Calibri" w:hAnsi="Calibri"/>
          <w:sz w:val="28"/>
          <w:szCs w:val="28"/>
        </w:rPr>
        <w:t>PLLC</w:t>
      </w:r>
      <w:proofErr w:type="spellEnd"/>
    </w:p>
    <w:p>
      <w:pPr>
        <w:spacing w:line="276" w:lineRule="auto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Bradley </w:t>
      </w:r>
      <w:proofErr w:type="spellStart"/>
      <w:r>
        <w:rPr>
          <w:rFonts w:ascii="Calibri" w:hAnsi="Calibri"/>
          <w:sz w:val="28"/>
          <w:szCs w:val="28"/>
        </w:rPr>
        <w:t>Arant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Boult</w:t>
      </w:r>
      <w:proofErr w:type="spellEnd"/>
      <w:r>
        <w:rPr>
          <w:rFonts w:ascii="Calibri" w:hAnsi="Calibri"/>
          <w:sz w:val="28"/>
          <w:szCs w:val="28"/>
        </w:rPr>
        <w:t xml:space="preserve"> Cummings LLP</w:t>
      </w:r>
    </w:p>
    <w:p>
      <w:pPr>
        <w:spacing w:line="276" w:lineRule="auto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Construction Risk Counsel, </w:t>
      </w:r>
      <w:proofErr w:type="spellStart"/>
      <w:r>
        <w:rPr>
          <w:rFonts w:ascii="Calibri" w:hAnsi="Calibri"/>
          <w:sz w:val="28"/>
          <w:szCs w:val="28"/>
        </w:rPr>
        <w:t>PLLC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</w:p>
    <w:p>
      <w:pPr>
        <w:spacing w:line="276" w:lineRule="auto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Cooley LLP</w:t>
      </w:r>
    </w:p>
    <w:p>
      <w:pPr>
        <w:spacing w:line="276" w:lineRule="auto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Crowell &amp; Moring LLP</w:t>
      </w:r>
    </w:p>
    <w:p>
      <w:pPr>
        <w:spacing w:line="276" w:lineRule="auto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Dickstein Shapiro LLP</w:t>
      </w:r>
    </w:p>
    <w:p>
      <w:pPr>
        <w:spacing w:line="276" w:lineRule="auto"/>
        <w:rPr>
          <w:rFonts w:ascii="Calibri" w:hAnsi="Calibri"/>
          <w:sz w:val="28"/>
          <w:szCs w:val="28"/>
        </w:rPr>
      </w:pPr>
      <w:proofErr w:type="spellStart"/>
      <w:r>
        <w:rPr>
          <w:rFonts w:ascii="Calibri" w:hAnsi="Calibri"/>
          <w:sz w:val="28"/>
          <w:szCs w:val="28"/>
        </w:rPr>
        <w:t>Dulske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Gluys</w:t>
      </w:r>
      <w:proofErr w:type="spellEnd"/>
      <w:r>
        <w:rPr>
          <w:rFonts w:ascii="Calibri" w:hAnsi="Calibri"/>
          <w:sz w:val="28"/>
          <w:szCs w:val="28"/>
        </w:rPr>
        <w:t>, PC</w:t>
      </w:r>
    </w:p>
    <w:p>
      <w:pPr>
        <w:spacing w:line="276" w:lineRule="auto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Fried, Frank, Harris, Shriver &amp; Jacobson LLP </w:t>
      </w:r>
    </w:p>
    <w:p>
      <w:pPr>
        <w:spacing w:line="276" w:lineRule="auto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Gibson, Dunn &amp; </w:t>
      </w:r>
      <w:proofErr w:type="spellStart"/>
      <w:r>
        <w:rPr>
          <w:rFonts w:ascii="Calibri" w:hAnsi="Calibri"/>
          <w:sz w:val="28"/>
          <w:szCs w:val="28"/>
        </w:rPr>
        <w:t>Crutcher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</w:p>
    <w:p>
      <w:pPr>
        <w:spacing w:line="276" w:lineRule="auto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Hogan Lovells </w:t>
      </w:r>
    </w:p>
    <w:p>
      <w:pPr>
        <w:spacing w:line="276" w:lineRule="auto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Holland &amp; Knight LLP</w:t>
      </w:r>
    </w:p>
    <w:p>
      <w:pPr>
        <w:spacing w:line="276" w:lineRule="auto"/>
        <w:rPr>
          <w:rFonts w:ascii="Calibri" w:hAnsi="Calibri"/>
          <w:sz w:val="28"/>
          <w:szCs w:val="28"/>
        </w:rPr>
      </w:pPr>
      <w:proofErr w:type="spellStart"/>
      <w:r>
        <w:rPr>
          <w:rFonts w:ascii="Calibri" w:hAnsi="Calibri"/>
          <w:sz w:val="28"/>
          <w:szCs w:val="28"/>
        </w:rPr>
        <w:t>Husch</w:t>
      </w:r>
      <w:proofErr w:type="spellEnd"/>
      <w:r>
        <w:rPr>
          <w:rFonts w:ascii="Calibri" w:hAnsi="Calibri"/>
          <w:sz w:val="28"/>
          <w:szCs w:val="28"/>
        </w:rPr>
        <w:t xml:space="preserve"> Blackwell LLP</w:t>
      </w:r>
    </w:p>
    <w:p>
      <w:pPr>
        <w:spacing w:line="276" w:lineRule="auto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McKenna Long &amp; Aldridge LLP </w:t>
      </w:r>
    </w:p>
    <w:p>
      <w:pPr>
        <w:spacing w:line="276" w:lineRule="auto"/>
        <w:rPr>
          <w:rFonts w:ascii="Calibri" w:hAnsi="Calibri" w:cstheme="minorBidi"/>
          <w:color w:val="1F497D" w:themeColor="dark2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Morrison &amp; </w:t>
      </w:r>
      <w:proofErr w:type="spellStart"/>
      <w:r>
        <w:rPr>
          <w:rFonts w:ascii="Calibri" w:hAnsi="Calibri"/>
          <w:sz w:val="28"/>
          <w:szCs w:val="28"/>
        </w:rPr>
        <w:t>Foerster</w:t>
      </w:r>
      <w:proofErr w:type="spellEnd"/>
      <w:r>
        <w:rPr>
          <w:rFonts w:ascii="Calibri" w:hAnsi="Calibri"/>
          <w:sz w:val="28"/>
          <w:szCs w:val="28"/>
        </w:rPr>
        <w:t xml:space="preserve"> LLP</w:t>
      </w:r>
    </w:p>
    <w:p>
      <w:pPr>
        <w:spacing w:line="276" w:lineRule="auto"/>
        <w:rPr>
          <w:rFonts w:ascii="Calibri" w:hAnsi="Calibri"/>
          <w:sz w:val="28"/>
          <w:szCs w:val="28"/>
        </w:rPr>
      </w:pPr>
      <w:proofErr w:type="spellStart"/>
      <w:r>
        <w:rPr>
          <w:rFonts w:ascii="Calibri" w:hAnsi="Calibri"/>
          <w:sz w:val="28"/>
          <w:szCs w:val="28"/>
        </w:rPr>
        <w:t>Oles</w:t>
      </w:r>
      <w:proofErr w:type="spellEnd"/>
      <w:r>
        <w:rPr>
          <w:rFonts w:ascii="Calibri" w:hAnsi="Calibri"/>
          <w:sz w:val="28"/>
          <w:szCs w:val="28"/>
        </w:rPr>
        <w:t xml:space="preserve"> Morrison Rinker Baker LLP</w:t>
      </w:r>
    </w:p>
    <w:p>
      <w:pPr>
        <w:spacing w:line="276" w:lineRule="auto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Perkins Coie LLP</w:t>
      </w:r>
    </w:p>
    <w:p>
      <w:pPr>
        <w:spacing w:line="276" w:lineRule="auto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Smith Pachter McWhorter PLC</w:t>
      </w:r>
    </w:p>
    <w:p>
      <w:pPr>
        <w:spacing w:line="276" w:lineRule="auto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Watt </w:t>
      </w:r>
      <w:proofErr w:type="spellStart"/>
      <w:r>
        <w:rPr>
          <w:rFonts w:ascii="Calibri" w:hAnsi="Calibri"/>
          <w:sz w:val="28"/>
          <w:szCs w:val="28"/>
        </w:rPr>
        <w:t>Tieder</w:t>
      </w:r>
      <w:proofErr w:type="spellEnd"/>
      <w:r>
        <w:rPr>
          <w:rFonts w:ascii="Calibri" w:hAnsi="Calibri"/>
          <w:sz w:val="28"/>
          <w:szCs w:val="28"/>
        </w:rPr>
        <w:t xml:space="preserve"> </w:t>
      </w:r>
      <w:proofErr w:type="spellStart"/>
      <w:r>
        <w:rPr>
          <w:rFonts w:ascii="Calibri" w:hAnsi="Calibri"/>
          <w:sz w:val="28"/>
          <w:szCs w:val="28"/>
        </w:rPr>
        <w:t>Hoffar</w:t>
      </w:r>
      <w:proofErr w:type="spellEnd"/>
      <w:r>
        <w:rPr>
          <w:rFonts w:ascii="Calibri" w:hAnsi="Calibri"/>
          <w:sz w:val="28"/>
          <w:szCs w:val="28"/>
        </w:rPr>
        <w:t xml:space="preserve"> &amp; Fitzgerald LLP</w:t>
      </w:r>
    </w:p>
    <w:p>
      <w:pPr>
        <w:spacing w:line="276" w:lineRule="auto"/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>Wiley Rein LLP</w:t>
      </w:r>
    </w:p>
    <w:p>
      <w:pPr>
        <w:spacing w:line="276" w:lineRule="auto"/>
        <w:rPr>
          <w:rStyle w:val="Strong"/>
          <w:rFonts w:ascii="Calibri" w:hAnsi="Calibri"/>
          <w:b w:val="0"/>
        </w:rPr>
      </w:pPr>
      <w:r>
        <w:rPr>
          <w:rFonts w:ascii="Calibri" w:hAnsi="Calibri"/>
          <w:sz w:val="28"/>
          <w:szCs w:val="28"/>
        </w:rPr>
        <w:t>Williams Mullen</w:t>
      </w:r>
    </w:p>
    <w:p>
      <w:pPr>
        <w:spacing w:after="200" w:line="276" w:lineRule="auto"/>
        <w:rPr>
          <w:rStyle w:val="Strong"/>
          <w:rFonts w:ascii="Calibri" w:hAnsi="Calibri"/>
          <w:b w:val="0"/>
          <w:bCs w:val="0"/>
          <w:color w:val="000000"/>
          <w:sz w:val="32"/>
          <w:szCs w:val="32"/>
        </w:rPr>
      </w:pPr>
    </w:p>
    <w:p>
      <w:pPr>
        <w:jc w:val="center"/>
        <w:rPr>
          <w:rStyle w:val="Strong"/>
          <w:rFonts w:ascii="Calibri" w:hAnsi="Calibri"/>
          <w:b w:val="0"/>
          <w:bCs w:val="0"/>
          <w:color w:val="000000"/>
          <w:sz w:val="32"/>
          <w:szCs w:val="32"/>
        </w:rPr>
        <w:sectPr>
          <w:pgSz w:w="12240" w:h="15840" w:code="1"/>
          <w:pgMar w:top="720" w:right="1440" w:bottom="720" w:left="1440" w:header="720" w:footer="720" w:gutter="0"/>
          <w:pgNumType w:start="1"/>
          <w:cols w:space="720"/>
          <w:titlePg/>
          <w:docGrid w:linePitch="360"/>
        </w:sectPr>
      </w:pPr>
    </w:p>
    <w:p>
      <w:pPr>
        <w:rPr>
          <w:rStyle w:val="Strong"/>
          <w:rFonts w:ascii="Calibri" w:hAnsi="Calibri"/>
          <w:b w:val="0"/>
          <w:bCs w:val="0"/>
          <w:color w:val="000000"/>
          <w:sz w:val="32"/>
          <w:szCs w:val="32"/>
        </w:rPr>
      </w:pPr>
    </w:p>
    <w:p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32"/>
          <w:szCs w:val="32"/>
        </w:rPr>
      </w:pPr>
      <w:r>
        <w:rPr>
          <w:rStyle w:val="Strong"/>
          <w:rFonts w:ascii="Calibri" w:hAnsi="Calibri"/>
          <w:bCs w:val="0"/>
          <w:color w:val="000000"/>
          <w:sz w:val="32"/>
          <w:szCs w:val="32"/>
        </w:rPr>
        <w:t>Tab 3</w:t>
      </w:r>
    </w:p>
    <w:p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22"/>
          <w:szCs w:val="22"/>
        </w:rPr>
      </w:pPr>
      <w:r>
        <w:rPr>
          <w:rStyle w:val="Strong"/>
          <w:rFonts w:ascii="Calibri" w:hAnsi="Calibri"/>
          <w:bCs w:val="0"/>
          <w:color w:val="000000"/>
          <w:sz w:val="32"/>
          <w:szCs w:val="32"/>
        </w:rPr>
        <w:t>Speaker Biographies - Index</w:t>
      </w:r>
    </w:p>
    <w:p>
      <w:pPr>
        <w:pStyle w:val="NormalWeb"/>
        <w:tabs>
          <w:tab w:val="left" w:pos="1260"/>
        </w:tabs>
        <w:ind w:left="1260" w:hanging="1260"/>
        <w:rPr>
          <w:rFonts w:ascii="Calibri" w:hAnsi="Calibri"/>
          <w:b/>
          <w:color w:val="000000"/>
          <w:sz w:val="22"/>
          <w:szCs w:val="22"/>
        </w:rPr>
      </w:pPr>
    </w:p>
    <w:p>
      <w:pPr>
        <w:pStyle w:val="NormalWeb"/>
        <w:tabs>
          <w:tab w:val="left" w:pos="1260"/>
        </w:tabs>
        <w:spacing w:line="360" w:lineRule="auto"/>
        <w:ind w:left="1260" w:hanging="1260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>Judge Marie Collins</w:t>
      </w:r>
      <w:r>
        <w:rPr>
          <w:rFonts w:ascii="Calibri" w:hAnsi="Calibri"/>
          <w:color w:val="000000"/>
          <w:sz w:val="22"/>
          <w:szCs w:val="22"/>
        </w:rPr>
        <w:t>, FAA ODRA</w:t>
      </w:r>
    </w:p>
    <w:p>
      <w:pPr>
        <w:tabs>
          <w:tab w:val="left" w:pos="1260"/>
        </w:tabs>
        <w:spacing w:line="360" w:lineRule="auto"/>
        <w:ind w:left="1260" w:hanging="1260"/>
        <w:rPr>
          <w:rFonts w:ascii="Calibri" w:hAnsi="Calibri"/>
          <w:b/>
          <w:color w:val="000000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Richard O. Duvall</w:t>
      </w:r>
      <w:r>
        <w:rPr>
          <w:rFonts w:ascii="Calibri" w:hAnsi="Calibri"/>
          <w:sz w:val="22"/>
          <w:szCs w:val="22"/>
        </w:rPr>
        <w:t>, Holland &amp; Knight LLP</w:t>
      </w:r>
    </w:p>
    <w:p>
      <w:pPr>
        <w:pStyle w:val="NormalWeb"/>
        <w:tabs>
          <w:tab w:val="left" w:pos="1260"/>
        </w:tabs>
        <w:spacing w:line="360" w:lineRule="auto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 xml:space="preserve">Lucas </w:t>
      </w:r>
      <w:proofErr w:type="spellStart"/>
      <w:r>
        <w:rPr>
          <w:rFonts w:ascii="Calibri" w:hAnsi="Calibri"/>
          <w:b/>
          <w:sz w:val="22"/>
          <w:szCs w:val="22"/>
        </w:rPr>
        <w:t>Hanback</w:t>
      </w:r>
      <w:proofErr w:type="spellEnd"/>
      <w:r>
        <w:rPr>
          <w:rFonts w:ascii="Calibri" w:hAnsi="Calibri"/>
          <w:sz w:val="22"/>
          <w:szCs w:val="22"/>
        </w:rPr>
        <w:t xml:space="preserve">, </w:t>
      </w:r>
      <w:r>
        <w:rPr>
          <w:rFonts w:ascii="Calibri" w:hAnsi="Calibri"/>
          <w:color w:val="000000"/>
          <w:sz w:val="22"/>
          <w:szCs w:val="22"/>
        </w:rPr>
        <w:t>Rogers Joseph O’Donnell, PC</w:t>
      </w:r>
    </w:p>
    <w:p>
      <w:pPr>
        <w:pStyle w:val="NormalWeb"/>
        <w:tabs>
          <w:tab w:val="left" w:pos="1260"/>
        </w:tabs>
        <w:spacing w:line="360" w:lineRule="auto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>Kristen Ittig</w:t>
      </w:r>
      <w:r>
        <w:rPr>
          <w:rFonts w:ascii="Calibri" w:hAnsi="Calibri"/>
          <w:color w:val="000000"/>
          <w:sz w:val="22"/>
          <w:szCs w:val="22"/>
        </w:rPr>
        <w:t>, Arnold &amp; Porter LLP</w:t>
      </w:r>
    </w:p>
    <w:p>
      <w:pPr>
        <w:tabs>
          <w:tab w:val="left" w:pos="1260"/>
        </w:tabs>
        <w:spacing w:line="360" w:lineRule="auto"/>
        <w:ind w:left="1260" w:hanging="1260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>Stan Johnson</w:t>
      </w:r>
      <w:r>
        <w:rPr>
          <w:rFonts w:ascii="Calibri" w:hAnsi="Calibri"/>
          <w:color w:val="000000"/>
          <w:sz w:val="22"/>
          <w:szCs w:val="22"/>
        </w:rPr>
        <w:t>, Crowell &amp; Moring LLP</w:t>
      </w:r>
    </w:p>
    <w:p>
      <w:pPr>
        <w:tabs>
          <w:tab w:val="left" w:pos="1260"/>
        </w:tabs>
        <w:autoSpaceDE w:val="0"/>
        <w:autoSpaceDN w:val="0"/>
        <w:adjustRightInd w:val="0"/>
        <w:spacing w:line="360" w:lineRule="auto"/>
        <w:rPr>
          <w:rFonts w:ascii="Calibri" w:hAnsi="Calibri"/>
          <w:b/>
          <w:bCs/>
          <w:color w:val="000000"/>
          <w:sz w:val="22"/>
          <w:szCs w:val="22"/>
        </w:rPr>
      </w:pPr>
      <w:r>
        <w:rPr>
          <w:rStyle w:val="Strong"/>
          <w:rFonts w:ascii="Calibri" w:hAnsi="Calibri"/>
          <w:bCs w:val="0"/>
          <w:color w:val="000000"/>
          <w:sz w:val="22"/>
          <w:szCs w:val="22"/>
        </w:rPr>
        <w:t>Chief Judge Marc Loud</w:t>
      </w:r>
      <w:r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  <w:t>,</w:t>
      </w:r>
      <w:r>
        <w:rPr>
          <w:rStyle w:val="Strong"/>
          <w:rFonts w:ascii="Calibri" w:hAnsi="Calibri"/>
          <w:bCs w:val="0"/>
          <w:color w:val="000000"/>
          <w:sz w:val="22"/>
          <w:szCs w:val="22"/>
        </w:rPr>
        <w:t xml:space="preserve"> </w:t>
      </w:r>
      <w:r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  <w:t>DC CAB</w:t>
      </w:r>
    </w:p>
    <w:p>
      <w:pPr>
        <w:pStyle w:val="NormalWeb"/>
        <w:tabs>
          <w:tab w:val="left" w:pos="1260"/>
        </w:tabs>
        <w:spacing w:line="360" w:lineRule="auto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Skye Mathieson</w:t>
      </w:r>
      <w:r>
        <w:rPr>
          <w:rFonts w:ascii="Calibri" w:hAnsi="Calibri"/>
          <w:sz w:val="22"/>
          <w:szCs w:val="22"/>
        </w:rPr>
        <w:t>, Crowell &amp; Moring LLP</w:t>
      </w:r>
    </w:p>
    <w:p>
      <w:pPr>
        <w:tabs>
          <w:tab w:val="left" w:pos="1260"/>
        </w:tabs>
        <w:spacing w:line="360" w:lineRule="auto"/>
        <w:ind w:left="1260" w:hanging="1260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Colette Matzzie</w:t>
      </w:r>
      <w:r>
        <w:rPr>
          <w:rFonts w:ascii="Calibri" w:hAnsi="Calibri"/>
          <w:sz w:val="22"/>
          <w:szCs w:val="22"/>
        </w:rPr>
        <w:t>, Phillips &amp; Cohen</w:t>
      </w:r>
    </w:p>
    <w:p>
      <w:pPr>
        <w:tabs>
          <w:tab w:val="left" w:pos="1260"/>
        </w:tabs>
        <w:spacing w:line="360" w:lineRule="auto"/>
        <w:ind w:left="1260" w:hanging="1260"/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>Judge</w:t>
      </w:r>
      <w:r>
        <w:rPr>
          <w:rFonts w:ascii="Calibri" w:hAnsi="Calibri"/>
          <w:color w:val="000000"/>
          <w:sz w:val="22"/>
          <w:szCs w:val="22"/>
        </w:rPr>
        <w:t xml:space="preserve"> </w:t>
      </w:r>
      <w:r>
        <w:rPr>
          <w:rFonts w:ascii="Calibri" w:hAnsi="Calibri"/>
          <w:b/>
          <w:color w:val="000000"/>
          <w:sz w:val="22"/>
          <w:szCs w:val="22"/>
        </w:rPr>
        <w:t xml:space="preserve">Maxine </w:t>
      </w:r>
      <w:proofErr w:type="spellStart"/>
      <w:r>
        <w:rPr>
          <w:rFonts w:ascii="Calibri" w:hAnsi="Calibri"/>
          <w:b/>
          <w:color w:val="000000"/>
          <w:sz w:val="22"/>
          <w:szCs w:val="22"/>
        </w:rPr>
        <w:t>McBean</w:t>
      </w:r>
      <w:proofErr w:type="spellEnd"/>
      <w:r>
        <w:rPr>
          <w:rFonts w:ascii="Calibri" w:hAnsi="Calibri"/>
          <w:color w:val="000000"/>
          <w:sz w:val="22"/>
          <w:szCs w:val="22"/>
        </w:rPr>
        <w:t>, DC CAB</w:t>
      </w:r>
    </w:p>
    <w:p>
      <w:pPr>
        <w:tabs>
          <w:tab w:val="left" w:pos="1260"/>
        </w:tabs>
        <w:spacing w:line="360" w:lineRule="auto"/>
        <w:ind w:left="1260" w:hanging="1260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Brian Miller</w:t>
      </w:r>
      <w:r>
        <w:rPr>
          <w:rFonts w:ascii="Calibri" w:hAnsi="Calibri"/>
          <w:sz w:val="22"/>
          <w:szCs w:val="22"/>
        </w:rPr>
        <w:t>, Navigant</w:t>
      </w:r>
    </w:p>
    <w:p>
      <w:pPr>
        <w:tabs>
          <w:tab w:val="left" w:pos="1260"/>
          <w:tab w:val="left" w:pos="3960"/>
          <w:tab w:val="left" w:pos="4770"/>
        </w:tabs>
        <w:spacing w:line="360" w:lineRule="auto"/>
        <w:ind w:left="1260" w:hanging="1260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>Ralph Nash</w:t>
      </w:r>
      <w:r>
        <w:rPr>
          <w:rFonts w:ascii="Calibri" w:hAnsi="Calibri"/>
          <w:color w:val="000000"/>
          <w:sz w:val="22"/>
          <w:szCs w:val="22"/>
        </w:rPr>
        <w:t>, George Washington University School of Law</w:t>
      </w:r>
    </w:p>
    <w:p>
      <w:pPr>
        <w:pStyle w:val="NormalWeb"/>
        <w:tabs>
          <w:tab w:val="left" w:pos="1260"/>
        </w:tabs>
        <w:spacing w:line="360" w:lineRule="auto"/>
        <w:ind w:left="1260" w:hanging="1260"/>
        <w:rPr>
          <w:rFonts w:ascii="Calibri" w:hAnsi="Calibri"/>
          <w:b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>Judge Elizabeth W. Newsom</w:t>
      </w:r>
      <w:r>
        <w:rPr>
          <w:rFonts w:ascii="Calibri" w:hAnsi="Calibri"/>
          <w:color w:val="000000"/>
          <w:sz w:val="22"/>
          <w:szCs w:val="22"/>
        </w:rPr>
        <w:t>, ASBCA</w:t>
      </w:r>
    </w:p>
    <w:p>
      <w:pPr>
        <w:pStyle w:val="NormalWeb"/>
        <w:tabs>
          <w:tab w:val="left" w:pos="1260"/>
        </w:tabs>
        <w:spacing w:line="360" w:lineRule="auto"/>
        <w:ind w:left="1260" w:hanging="1260"/>
        <w:rPr>
          <w:rStyle w:val="Strong"/>
          <w:rFonts w:ascii="Calibri" w:hAnsi="Calibri"/>
          <w:bCs w:val="0"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>Neil O’Donnell</w:t>
      </w:r>
      <w:r>
        <w:rPr>
          <w:rFonts w:ascii="Calibri" w:hAnsi="Calibri"/>
          <w:color w:val="000000"/>
          <w:sz w:val="22"/>
          <w:szCs w:val="22"/>
        </w:rPr>
        <w:t>, Rogers Joseph O’Donnell, PC</w:t>
      </w:r>
    </w:p>
    <w:p>
      <w:pPr>
        <w:pStyle w:val="NormalWeb"/>
        <w:tabs>
          <w:tab w:val="left" w:pos="1260"/>
        </w:tabs>
        <w:spacing w:line="360" w:lineRule="auto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Heidi Osterhout</w:t>
      </w:r>
      <w:r>
        <w:rPr>
          <w:rFonts w:ascii="Calibri" w:hAnsi="Calibri"/>
          <w:sz w:val="22"/>
          <w:szCs w:val="22"/>
        </w:rPr>
        <w:t>, BCABA Case Digest Editor</w:t>
      </w:r>
    </w:p>
    <w:p>
      <w:pPr>
        <w:tabs>
          <w:tab w:val="left" w:pos="1260"/>
        </w:tabs>
        <w:spacing w:line="360" w:lineRule="auto"/>
        <w:ind w:left="1260" w:hanging="1260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  <w:r>
        <w:rPr>
          <w:rStyle w:val="Strong"/>
          <w:rFonts w:ascii="Calibri" w:hAnsi="Calibri"/>
          <w:bCs w:val="0"/>
          <w:color w:val="000000"/>
          <w:sz w:val="22"/>
          <w:szCs w:val="22"/>
        </w:rPr>
        <w:t xml:space="preserve">Judge Carol Park-Conroy, </w:t>
      </w:r>
      <w:r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  <w:t>(ASBCA, Ret.) JAMS</w:t>
      </w:r>
      <w:r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  <w:tab/>
      </w:r>
    </w:p>
    <w:p>
      <w:pPr>
        <w:pStyle w:val="NormalWeb"/>
        <w:tabs>
          <w:tab w:val="left" w:pos="1260"/>
        </w:tabs>
        <w:spacing w:line="360" w:lineRule="auto"/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>Judge Peter Pontzer</w:t>
      </w:r>
      <w:r>
        <w:rPr>
          <w:rFonts w:ascii="Calibri" w:hAnsi="Calibri"/>
          <w:color w:val="000000"/>
          <w:sz w:val="22"/>
          <w:szCs w:val="22"/>
        </w:rPr>
        <w:t>, PSBCA</w:t>
      </w:r>
    </w:p>
    <w:p>
      <w:pPr>
        <w:pStyle w:val="NormalWeb"/>
        <w:tabs>
          <w:tab w:val="left" w:pos="1260"/>
        </w:tabs>
        <w:spacing w:line="360" w:lineRule="auto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The Honorable</w:t>
      </w:r>
      <w:r>
        <w:rPr>
          <w:rFonts w:ascii="Calibri" w:hAnsi="Calibri"/>
          <w:sz w:val="22"/>
          <w:szCs w:val="22"/>
        </w:rPr>
        <w:t xml:space="preserve"> </w:t>
      </w:r>
      <w:r>
        <w:rPr>
          <w:rFonts w:ascii="Calibri" w:hAnsi="Calibri"/>
          <w:b/>
          <w:sz w:val="22"/>
          <w:szCs w:val="22"/>
        </w:rPr>
        <w:t>Anne Rung</w:t>
      </w:r>
      <w:r>
        <w:rPr>
          <w:rFonts w:ascii="Calibri" w:hAnsi="Calibri"/>
          <w:sz w:val="22"/>
          <w:szCs w:val="22"/>
        </w:rPr>
        <w:t>, Administrator for Federal Procurement Policy</w:t>
      </w:r>
    </w:p>
    <w:p>
      <w:pPr>
        <w:tabs>
          <w:tab w:val="left" w:pos="1260"/>
        </w:tabs>
        <w:spacing w:line="360" w:lineRule="auto"/>
        <w:ind w:left="1260" w:hanging="1260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  <w:r>
        <w:rPr>
          <w:rStyle w:val="Strong"/>
          <w:rFonts w:ascii="Calibri" w:hAnsi="Calibri"/>
          <w:bCs w:val="0"/>
          <w:color w:val="000000"/>
          <w:sz w:val="22"/>
          <w:szCs w:val="22"/>
        </w:rPr>
        <w:t>Kara Sacilotto,</w:t>
      </w:r>
      <w:r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  <w:t xml:space="preserve"> Wiley Rein LLP</w:t>
      </w:r>
    </w:p>
    <w:p>
      <w:pPr>
        <w:tabs>
          <w:tab w:val="left" w:pos="1260"/>
        </w:tabs>
        <w:spacing w:line="360" w:lineRule="auto"/>
        <w:ind w:left="1260" w:hanging="1260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Ron Schechter</w:t>
      </w:r>
      <w:r>
        <w:rPr>
          <w:rFonts w:ascii="Calibri" w:hAnsi="Calibri"/>
          <w:sz w:val="22"/>
          <w:szCs w:val="22"/>
        </w:rPr>
        <w:t>, Arnold &amp; Porter LLP</w:t>
      </w:r>
    </w:p>
    <w:p>
      <w:pPr>
        <w:tabs>
          <w:tab w:val="left" w:pos="1260"/>
        </w:tabs>
        <w:spacing w:line="360" w:lineRule="auto"/>
        <w:ind w:left="1260" w:hanging="1260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Judge Gary Shapiro</w:t>
      </w:r>
      <w:r>
        <w:rPr>
          <w:rFonts w:ascii="Calibri" w:hAnsi="Calibri"/>
          <w:sz w:val="22"/>
          <w:szCs w:val="22"/>
        </w:rPr>
        <w:t>, PSBCA</w:t>
      </w:r>
    </w:p>
    <w:p>
      <w:pPr>
        <w:tabs>
          <w:tab w:val="left" w:pos="1260"/>
        </w:tabs>
        <w:spacing w:line="360" w:lineRule="auto"/>
        <w:ind w:left="1260" w:hanging="1260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Jennifer Short</w:t>
      </w:r>
      <w:r>
        <w:rPr>
          <w:rFonts w:ascii="Calibri" w:hAnsi="Calibri"/>
          <w:sz w:val="22"/>
          <w:szCs w:val="22"/>
        </w:rPr>
        <w:t xml:space="preserve">, U.S. Attorney’s Office for the District of Columbia </w:t>
      </w:r>
    </w:p>
    <w:p>
      <w:pPr>
        <w:tabs>
          <w:tab w:val="left" w:pos="1260"/>
        </w:tabs>
        <w:spacing w:line="360" w:lineRule="auto"/>
        <w:ind w:left="1260" w:hanging="1260"/>
        <w:rPr>
          <w:rStyle w:val="Strong"/>
          <w:rFonts w:ascii="Calibri" w:hAnsi="Calibri"/>
          <w:bCs w:val="0"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>Bryant Snee</w:t>
      </w:r>
      <w:r>
        <w:rPr>
          <w:rFonts w:ascii="Calibri" w:hAnsi="Calibri"/>
          <w:color w:val="000000"/>
          <w:sz w:val="22"/>
          <w:szCs w:val="22"/>
        </w:rPr>
        <w:t>, United States Department of Justice, Civil Division</w:t>
      </w:r>
    </w:p>
    <w:p>
      <w:pPr>
        <w:tabs>
          <w:tab w:val="left" w:pos="1260"/>
        </w:tabs>
        <w:spacing w:line="360" w:lineRule="auto"/>
        <w:ind w:left="1260" w:hanging="1260"/>
        <w:rPr>
          <w:rFonts w:ascii="Calibri" w:hAnsi="Calibri"/>
          <w:sz w:val="22"/>
          <w:szCs w:val="22"/>
        </w:rPr>
      </w:pPr>
      <w:r>
        <w:rPr>
          <w:rStyle w:val="Strong"/>
          <w:rFonts w:ascii="Calibri" w:hAnsi="Calibri"/>
          <w:bCs w:val="0"/>
          <w:color w:val="000000"/>
          <w:sz w:val="22"/>
          <w:szCs w:val="22"/>
        </w:rPr>
        <w:t>Craig Smith</w:t>
      </w:r>
      <w:r>
        <w:rPr>
          <w:rStyle w:val="Strong"/>
          <w:rFonts w:ascii="Calibri" w:hAnsi="Calibri"/>
          <w:bCs w:val="0"/>
          <w:i/>
          <w:color w:val="000000"/>
          <w:sz w:val="22"/>
          <w:szCs w:val="22"/>
        </w:rPr>
        <w:t xml:space="preserve">, </w:t>
      </w:r>
      <w:r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  <w:t>Wiley Rein LLP</w:t>
      </w:r>
    </w:p>
    <w:p>
      <w:pPr>
        <w:pStyle w:val="NormalWeb"/>
        <w:tabs>
          <w:tab w:val="left" w:pos="1260"/>
        </w:tabs>
        <w:spacing w:line="360" w:lineRule="auto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Tara Ward</w:t>
      </w:r>
      <w:r>
        <w:rPr>
          <w:rFonts w:ascii="Calibri" w:hAnsi="Calibri"/>
          <w:sz w:val="22"/>
          <w:szCs w:val="22"/>
        </w:rPr>
        <w:t>, Wiley Rein LLP</w:t>
      </w:r>
    </w:p>
    <w:p>
      <w:pPr>
        <w:pStyle w:val="NormalWeb"/>
        <w:tabs>
          <w:tab w:val="left" w:pos="1260"/>
        </w:tabs>
        <w:spacing w:line="360" w:lineRule="auto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David Weber</w:t>
      </w:r>
      <w:r>
        <w:rPr>
          <w:rFonts w:ascii="Calibri" w:hAnsi="Calibri"/>
          <w:sz w:val="22"/>
          <w:szCs w:val="22"/>
        </w:rPr>
        <w:t>, Arnold &amp; Porter LLP</w:t>
      </w:r>
    </w:p>
    <w:p>
      <w:pPr>
        <w:pStyle w:val="NormalWeb"/>
        <w:tabs>
          <w:tab w:val="left" w:pos="1260"/>
        </w:tabs>
        <w:spacing w:line="360" w:lineRule="auto"/>
        <w:ind w:left="1260" w:hanging="1260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 xml:space="preserve">Judge Jonathan Zischkau, </w:t>
      </w:r>
      <w:r>
        <w:rPr>
          <w:rFonts w:ascii="Calibri" w:hAnsi="Calibri"/>
          <w:color w:val="000000"/>
          <w:sz w:val="22"/>
          <w:szCs w:val="22"/>
        </w:rPr>
        <w:t>CBCA</w:t>
      </w:r>
    </w:p>
    <w:p>
      <w:pPr>
        <w:spacing w:after="200" w:line="276" w:lineRule="auto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color w:val="000000"/>
          <w:sz w:val="22"/>
          <w:szCs w:val="22"/>
        </w:rPr>
        <w:br w:type="page"/>
      </w:r>
    </w:p>
    <w:p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32"/>
          <w:szCs w:val="32"/>
        </w:rPr>
      </w:pPr>
      <w:r>
        <w:rPr>
          <w:rStyle w:val="Strong"/>
          <w:rFonts w:ascii="Calibri" w:hAnsi="Calibri"/>
          <w:bCs w:val="0"/>
          <w:color w:val="000000"/>
          <w:sz w:val="32"/>
          <w:szCs w:val="32"/>
        </w:rPr>
        <w:lastRenderedPageBreak/>
        <w:t>Speaker Biographies</w:t>
      </w:r>
    </w:p>
    <w:p>
      <w:pPr>
        <w:pStyle w:val="NormalWeb"/>
        <w:tabs>
          <w:tab w:val="left" w:pos="1260"/>
        </w:tabs>
        <w:ind w:left="1260" w:hanging="1260"/>
        <w:rPr>
          <w:rFonts w:ascii="Calibri" w:hAnsi="Calibri"/>
          <w:b/>
          <w:color w:val="000000"/>
          <w:sz w:val="22"/>
          <w:szCs w:val="22"/>
          <w:u w:val="single"/>
        </w:rPr>
      </w:pPr>
    </w:p>
    <w:p>
      <w:pPr>
        <w:pStyle w:val="NormalWeb"/>
        <w:tabs>
          <w:tab w:val="left" w:pos="1260"/>
        </w:tabs>
        <w:ind w:left="1260" w:hanging="1260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>Judge Marie Collins</w:t>
      </w:r>
      <w:r>
        <w:rPr>
          <w:rFonts w:ascii="Calibri" w:hAnsi="Calibri"/>
          <w:color w:val="000000"/>
          <w:sz w:val="22"/>
          <w:szCs w:val="22"/>
        </w:rPr>
        <w:t>, FAA ODRA</w:t>
      </w:r>
    </w:p>
    <w:p>
      <w:pPr>
        <w:pStyle w:val="NormalWeb"/>
        <w:tabs>
          <w:tab w:val="left" w:pos="1260"/>
        </w:tabs>
        <w:ind w:left="1260" w:hanging="1260"/>
        <w:rPr>
          <w:rFonts w:ascii="Calibri" w:hAnsi="Calibri"/>
          <w:color w:val="000000"/>
          <w:sz w:val="22"/>
          <w:szCs w:val="22"/>
        </w:rPr>
      </w:pPr>
      <w:r>
        <w:object w:dxaOrig="1501" w:dyaOrig="9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4.75pt;height:47.1pt" o:ole="">
            <v:imagedata r:id="rId24" o:title=""/>
          </v:shape>
          <o:OLEObject Type="Embed" ProgID="AcroExch.Document.11" ShapeID="_x0000_i1025" DrawAspect="Icon" ObjectID="_1474787027" r:id="rId25"/>
        </w:object>
      </w:r>
    </w:p>
    <w:p>
      <w:pPr>
        <w:tabs>
          <w:tab w:val="left" w:pos="1260"/>
        </w:tabs>
        <w:ind w:left="1260" w:hanging="1260"/>
        <w:rPr>
          <w:rFonts w:ascii="Calibri" w:hAnsi="Calibri"/>
          <w:b/>
          <w:sz w:val="22"/>
          <w:szCs w:val="22"/>
        </w:rPr>
      </w:pPr>
    </w:p>
    <w:p>
      <w:pPr>
        <w:tabs>
          <w:tab w:val="left" w:pos="1260"/>
        </w:tabs>
        <w:ind w:left="1260" w:hanging="1260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Richard O. Duvall</w:t>
      </w:r>
      <w:r>
        <w:rPr>
          <w:rFonts w:ascii="Calibri" w:hAnsi="Calibri"/>
          <w:sz w:val="22"/>
          <w:szCs w:val="22"/>
        </w:rPr>
        <w:t>, Holland &amp; Knight LLP</w:t>
      </w:r>
    </w:p>
    <w:p>
      <w:pPr>
        <w:tabs>
          <w:tab w:val="left" w:pos="1260"/>
        </w:tabs>
        <w:ind w:left="1260" w:hanging="1260"/>
        <w:rPr>
          <w:rFonts w:ascii="Calibri" w:hAnsi="Calibri"/>
          <w:b/>
          <w:color w:val="000000"/>
          <w:sz w:val="22"/>
          <w:szCs w:val="22"/>
        </w:rPr>
      </w:pPr>
      <w:r>
        <w:rPr>
          <w:rFonts w:ascii="Calibri" w:hAnsi="Calibri"/>
          <w:sz w:val="22"/>
          <w:szCs w:val="22"/>
        </w:rPr>
        <w:object w:dxaOrig="1501" w:dyaOrig="940">
          <v:shape id="_x0000_i1026" type="#_x0000_t75" style="width:74.75pt;height:48.2pt" o:ole="">
            <v:imagedata r:id="rId26" o:title=""/>
          </v:shape>
          <o:OLEObject Type="Embed" ProgID="AcroExch.Document.11" ShapeID="_x0000_i1026" DrawAspect="Icon" ObjectID="_1474787028" r:id="rId27"/>
        </w:object>
      </w:r>
    </w:p>
    <w:p>
      <w:pPr>
        <w:pStyle w:val="NormalWeb"/>
        <w:tabs>
          <w:tab w:val="left" w:pos="1260"/>
        </w:tabs>
        <w:rPr>
          <w:rFonts w:ascii="Calibri" w:hAnsi="Calibri"/>
          <w:b/>
          <w:sz w:val="22"/>
          <w:szCs w:val="22"/>
        </w:rPr>
      </w:pPr>
    </w:p>
    <w:p>
      <w:pPr>
        <w:pStyle w:val="NormalWeb"/>
        <w:tabs>
          <w:tab w:val="left" w:pos="1260"/>
        </w:tabs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Lucas Hanback</w:t>
      </w:r>
      <w:r>
        <w:rPr>
          <w:rFonts w:ascii="Calibri" w:hAnsi="Calibri"/>
          <w:sz w:val="22"/>
          <w:szCs w:val="22"/>
        </w:rPr>
        <w:t xml:space="preserve">, </w:t>
      </w:r>
      <w:r>
        <w:rPr>
          <w:rFonts w:ascii="Calibri" w:hAnsi="Calibri"/>
          <w:color w:val="000000"/>
          <w:sz w:val="22"/>
          <w:szCs w:val="22"/>
        </w:rPr>
        <w:t>Rogers Joseph O’Donnell, PC</w:t>
      </w:r>
    </w:p>
    <w:p>
      <w:pPr>
        <w:pStyle w:val="NormalWeb"/>
        <w:tabs>
          <w:tab w:val="left" w:pos="1260"/>
        </w:tabs>
      </w:pPr>
      <w:r>
        <w:object w:dxaOrig="1521" w:dyaOrig="953">
          <v:shape id="_x0000_i1027" type="#_x0000_t75" style="width:75.3pt;height:48.2pt" o:ole="">
            <v:imagedata r:id="rId28" o:title=""/>
          </v:shape>
          <o:OLEObject Type="Embed" ProgID="AcroExch.Document.11" ShapeID="_x0000_i1027" DrawAspect="Icon" ObjectID="_1474787029" r:id="rId29"/>
        </w:object>
      </w:r>
    </w:p>
    <w:p>
      <w:pPr>
        <w:pStyle w:val="NormalWeb"/>
        <w:tabs>
          <w:tab w:val="left" w:pos="1260"/>
        </w:tabs>
        <w:rPr>
          <w:rFonts w:ascii="Calibri" w:hAnsi="Calibri"/>
          <w:color w:val="000000"/>
          <w:sz w:val="22"/>
          <w:szCs w:val="22"/>
        </w:rPr>
      </w:pPr>
    </w:p>
    <w:p>
      <w:pPr>
        <w:pStyle w:val="NormalWeb"/>
        <w:tabs>
          <w:tab w:val="left" w:pos="1260"/>
        </w:tabs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>Kristen Ittig</w:t>
      </w:r>
      <w:r>
        <w:rPr>
          <w:rFonts w:ascii="Calibri" w:hAnsi="Calibri"/>
          <w:color w:val="000000"/>
          <w:sz w:val="22"/>
          <w:szCs w:val="22"/>
        </w:rPr>
        <w:t>, Arnold &amp; Porter LLP</w:t>
      </w:r>
    </w:p>
    <w:p>
      <w:pPr>
        <w:pStyle w:val="NormalWeb"/>
        <w:tabs>
          <w:tab w:val="left" w:pos="1260"/>
        </w:tabs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sz w:val="22"/>
          <w:szCs w:val="22"/>
        </w:rPr>
        <w:object w:dxaOrig="1501" w:dyaOrig="940">
          <v:shape id="_x0000_i1028" type="#_x0000_t75" style="width:74.75pt;height:48.2pt" o:ole="">
            <v:imagedata r:id="rId30" o:title=""/>
          </v:shape>
          <o:OLEObject Type="Embed" ProgID="AcroExch.Document.11" ShapeID="_x0000_i1028" DrawAspect="Icon" ObjectID="_1474787030" r:id="rId31"/>
        </w:object>
      </w:r>
    </w:p>
    <w:p>
      <w:pPr>
        <w:tabs>
          <w:tab w:val="left" w:pos="1260"/>
        </w:tabs>
        <w:ind w:left="1260" w:hanging="1260"/>
        <w:rPr>
          <w:rFonts w:ascii="Calibri" w:hAnsi="Calibri"/>
          <w:b/>
          <w:color w:val="000000"/>
          <w:sz w:val="22"/>
          <w:szCs w:val="22"/>
        </w:rPr>
      </w:pPr>
    </w:p>
    <w:p>
      <w:pPr>
        <w:tabs>
          <w:tab w:val="left" w:pos="1260"/>
        </w:tabs>
        <w:ind w:left="1260" w:hanging="1260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>Stan Johnson</w:t>
      </w:r>
      <w:r>
        <w:rPr>
          <w:rFonts w:ascii="Calibri" w:hAnsi="Calibri"/>
          <w:color w:val="000000"/>
          <w:sz w:val="22"/>
          <w:szCs w:val="22"/>
        </w:rPr>
        <w:t>, Crowell &amp; Moring LLP</w:t>
      </w:r>
    </w:p>
    <w:bookmarkStart w:id="1" w:name="_MON_1473670446"/>
    <w:bookmarkEnd w:id="1"/>
    <w:p>
      <w:pPr>
        <w:tabs>
          <w:tab w:val="left" w:pos="1260"/>
        </w:tabs>
        <w:ind w:left="1260" w:hanging="1260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sz w:val="22"/>
          <w:szCs w:val="22"/>
        </w:rPr>
        <w:object w:dxaOrig="1501" w:dyaOrig="940">
          <v:shape id="_x0000_i1029" type="#_x0000_t75" style="width:74.75pt;height:48.2pt" o:ole="">
            <v:imagedata r:id="rId32" o:title=""/>
          </v:shape>
          <o:OLEObject Type="Embed" ProgID="Word.Document.12" ShapeID="_x0000_i1029" DrawAspect="Icon" ObjectID="_1474787031" r:id="rId33">
            <o:FieldCodes>\s</o:FieldCodes>
          </o:OLEObject>
        </w:object>
      </w:r>
    </w:p>
    <w:p>
      <w:pPr>
        <w:tabs>
          <w:tab w:val="left" w:pos="1260"/>
        </w:tabs>
        <w:autoSpaceDE w:val="0"/>
        <w:autoSpaceDN w:val="0"/>
        <w:adjustRightInd w:val="0"/>
        <w:rPr>
          <w:rStyle w:val="Strong"/>
          <w:rFonts w:ascii="Calibri" w:hAnsi="Calibri"/>
          <w:bCs w:val="0"/>
          <w:color w:val="000000"/>
          <w:sz w:val="22"/>
          <w:szCs w:val="22"/>
        </w:rPr>
      </w:pPr>
    </w:p>
    <w:p>
      <w:pPr>
        <w:tabs>
          <w:tab w:val="left" w:pos="1260"/>
        </w:tabs>
        <w:autoSpaceDE w:val="0"/>
        <w:autoSpaceDN w:val="0"/>
        <w:adjustRightInd w:val="0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  <w:r>
        <w:rPr>
          <w:rStyle w:val="Strong"/>
          <w:rFonts w:ascii="Calibri" w:hAnsi="Calibri"/>
          <w:bCs w:val="0"/>
          <w:color w:val="000000"/>
          <w:sz w:val="22"/>
          <w:szCs w:val="22"/>
        </w:rPr>
        <w:t>Chief Judge Marc Loud,</w:t>
      </w:r>
      <w:r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  <w:t xml:space="preserve"> DC CAB</w:t>
      </w:r>
    </w:p>
    <w:p>
      <w:pPr>
        <w:tabs>
          <w:tab w:val="left" w:pos="1260"/>
        </w:tabs>
        <w:autoSpaceDE w:val="0"/>
        <w:autoSpaceDN w:val="0"/>
        <w:adjustRightInd w:val="0"/>
        <w:rPr>
          <w:rFonts w:ascii="Calibri" w:hAnsi="Calibri"/>
          <w:b/>
          <w:bCs/>
          <w:color w:val="000000"/>
          <w:sz w:val="22"/>
          <w:szCs w:val="22"/>
        </w:rPr>
      </w:pPr>
      <w:r>
        <w:object w:dxaOrig="1501" w:dyaOrig="940">
          <v:shape id="_x0000_i1030" type="#_x0000_t75" style="width:74.75pt;height:47.1pt" o:ole="">
            <v:imagedata r:id="rId34" o:title=""/>
          </v:shape>
          <o:OLEObject Type="Embed" ProgID="AcroExch.Document.11" ShapeID="_x0000_i1030" DrawAspect="Icon" ObjectID="_1474787032" r:id="rId35"/>
        </w:object>
      </w:r>
    </w:p>
    <w:p>
      <w:pPr>
        <w:pStyle w:val="NormalWeb"/>
        <w:tabs>
          <w:tab w:val="left" w:pos="1260"/>
        </w:tabs>
        <w:rPr>
          <w:rFonts w:ascii="Calibri" w:hAnsi="Calibri"/>
          <w:b/>
          <w:sz w:val="22"/>
          <w:szCs w:val="22"/>
        </w:rPr>
      </w:pPr>
    </w:p>
    <w:p>
      <w:pPr>
        <w:pStyle w:val="NormalWeb"/>
        <w:tabs>
          <w:tab w:val="left" w:pos="1260"/>
        </w:tabs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Skye Mathieson</w:t>
      </w:r>
      <w:r>
        <w:rPr>
          <w:rFonts w:ascii="Calibri" w:hAnsi="Calibri"/>
          <w:sz w:val="22"/>
          <w:szCs w:val="22"/>
        </w:rPr>
        <w:t>, Crowell &amp; Moring LLP</w:t>
      </w:r>
    </w:p>
    <w:p>
      <w:pPr>
        <w:pStyle w:val="NormalWeb"/>
        <w:tabs>
          <w:tab w:val="left" w:pos="1260"/>
        </w:tabs>
        <w:rPr>
          <w:rFonts w:ascii="Calibri" w:hAnsi="Calibri"/>
          <w:sz w:val="22"/>
          <w:szCs w:val="22"/>
        </w:rPr>
      </w:pPr>
      <w:r>
        <w:object w:dxaOrig="1521" w:dyaOrig="953">
          <v:shape id="_x0000_i1031" type="#_x0000_t75" style="width:75.3pt;height:48.2pt" o:ole="">
            <v:imagedata r:id="rId36" o:title=""/>
          </v:shape>
          <o:OLEObject Type="Embed" ProgID="AcroExch.Document.11" ShapeID="_x0000_i1031" DrawAspect="Icon" ObjectID="_1474787033" r:id="rId37"/>
        </w:object>
      </w:r>
    </w:p>
    <w:p>
      <w:pPr>
        <w:pStyle w:val="NormalWeb"/>
        <w:tabs>
          <w:tab w:val="left" w:pos="1260"/>
        </w:tabs>
        <w:rPr>
          <w:rFonts w:ascii="Calibri" w:hAnsi="Calibri"/>
          <w:sz w:val="22"/>
          <w:szCs w:val="22"/>
        </w:rPr>
      </w:pPr>
    </w:p>
    <w:p>
      <w:pPr>
        <w:tabs>
          <w:tab w:val="left" w:pos="1260"/>
        </w:tabs>
        <w:ind w:left="1260" w:hanging="1260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Colette Matzzie</w:t>
      </w:r>
      <w:r>
        <w:rPr>
          <w:rFonts w:ascii="Calibri" w:hAnsi="Calibri"/>
          <w:sz w:val="22"/>
          <w:szCs w:val="22"/>
        </w:rPr>
        <w:t>, Phillips &amp; Cohen</w:t>
      </w:r>
    </w:p>
    <w:p>
      <w:pPr>
        <w:tabs>
          <w:tab w:val="left" w:pos="1260"/>
        </w:tabs>
        <w:ind w:left="1260" w:hanging="126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object w:dxaOrig="1501" w:dyaOrig="940">
          <v:shape id="_x0000_i1032" type="#_x0000_t75" style="width:74.75pt;height:48.2pt" o:ole="">
            <v:imagedata r:id="rId38" o:title=""/>
          </v:shape>
          <o:OLEObject Type="Embed" ProgID="AcroExch.Document.11" ShapeID="_x0000_i1032" DrawAspect="Icon" ObjectID="_1474787034" r:id="rId39"/>
        </w:object>
      </w:r>
    </w:p>
    <w:p>
      <w:pPr>
        <w:tabs>
          <w:tab w:val="left" w:pos="1260"/>
        </w:tabs>
        <w:ind w:left="1260" w:hanging="1260"/>
        <w:rPr>
          <w:rFonts w:ascii="Calibri" w:hAnsi="Calibri"/>
          <w:b/>
          <w:color w:val="000000"/>
          <w:sz w:val="22"/>
          <w:szCs w:val="22"/>
        </w:rPr>
      </w:pPr>
    </w:p>
    <w:p>
      <w:pPr>
        <w:tabs>
          <w:tab w:val="left" w:pos="1260"/>
        </w:tabs>
        <w:ind w:left="1260" w:hanging="1260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>Judge</w:t>
      </w:r>
      <w:r>
        <w:rPr>
          <w:rFonts w:ascii="Calibri" w:hAnsi="Calibri"/>
          <w:color w:val="000000"/>
          <w:sz w:val="22"/>
          <w:szCs w:val="22"/>
        </w:rPr>
        <w:t xml:space="preserve"> </w:t>
      </w:r>
      <w:r>
        <w:rPr>
          <w:rFonts w:ascii="Calibri" w:hAnsi="Calibri"/>
          <w:b/>
          <w:color w:val="000000"/>
          <w:sz w:val="22"/>
          <w:szCs w:val="22"/>
        </w:rPr>
        <w:t>Maxine McBean</w:t>
      </w:r>
      <w:r>
        <w:rPr>
          <w:rFonts w:ascii="Calibri" w:hAnsi="Calibri"/>
          <w:color w:val="000000"/>
          <w:sz w:val="22"/>
          <w:szCs w:val="22"/>
        </w:rPr>
        <w:t>, DC CAB</w:t>
      </w:r>
    </w:p>
    <w:p>
      <w:pPr>
        <w:tabs>
          <w:tab w:val="left" w:pos="1260"/>
        </w:tabs>
        <w:ind w:left="1260" w:hanging="1260"/>
        <w:rPr>
          <w:rFonts w:ascii="Calibri" w:hAnsi="Calibri"/>
          <w:b/>
          <w:sz w:val="22"/>
          <w:szCs w:val="22"/>
        </w:rPr>
      </w:pPr>
      <w:r>
        <w:object w:dxaOrig="1501" w:dyaOrig="940">
          <v:shape id="_x0000_i1033" type="#_x0000_t75" style="width:74.75pt;height:47.1pt" o:ole="">
            <v:imagedata r:id="rId40" o:title=""/>
          </v:shape>
          <o:OLEObject Type="Embed" ProgID="AcroExch.Document.11" ShapeID="_x0000_i1033" DrawAspect="Icon" ObjectID="_1474787035" r:id="rId41"/>
        </w:object>
      </w:r>
    </w:p>
    <w:p>
      <w:pPr>
        <w:tabs>
          <w:tab w:val="left" w:pos="1260"/>
        </w:tabs>
        <w:ind w:left="1260" w:hanging="1260"/>
        <w:rPr>
          <w:rFonts w:ascii="Calibri" w:hAnsi="Calibri"/>
          <w:b/>
          <w:sz w:val="22"/>
          <w:szCs w:val="22"/>
        </w:rPr>
      </w:pPr>
    </w:p>
    <w:p>
      <w:pPr>
        <w:tabs>
          <w:tab w:val="left" w:pos="1260"/>
        </w:tabs>
        <w:ind w:left="1260" w:hanging="1260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Brian Miller</w:t>
      </w:r>
      <w:r>
        <w:rPr>
          <w:rFonts w:ascii="Calibri" w:hAnsi="Calibri"/>
          <w:sz w:val="22"/>
          <w:szCs w:val="22"/>
        </w:rPr>
        <w:t>, Navigant</w:t>
      </w:r>
    </w:p>
    <w:p>
      <w:pPr>
        <w:tabs>
          <w:tab w:val="left" w:pos="1260"/>
        </w:tabs>
        <w:ind w:left="1260" w:hanging="126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object w:dxaOrig="1501" w:dyaOrig="940">
          <v:shape id="_x0000_i1034" type="#_x0000_t75" style="width:74.75pt;height:48.2pt" o:ole="">
            <v:imagedata r:id="rId42" o:title=""/>
          </v:shape>
          <o:OLEObject Type="Embed" ProgID="AcroExch.Document.11" ShapeID="_x0000_i1034" DrawAspect="Icon" ObjectID="_1474787036" r:id="rId43"/>
        </w:object>
      </w:r>
    </w:p>
    <w:p>
      <w:pPr>
        <w:tabs>
          <w:tab w:val="left" w:pos="1260"/>
        </w:tabs>
        <w:ind w:left="1260" w:hanging="1260"/>
        <w:rPr>
          <w:rFonts w:ascii="Calibri" w:hAnsi="Calibri"/>
          <w:b/>
          <w:color w:val="000000"/>
          <w:sz w:val="22"/>
          <w:szCs w:val="22"/>
        </w:rPr>
      </w:pPr>
    </w:p>
    <w:p>
      <w:pPr>
        <w:tabs>
          <w:tab w:val="left" w:pos="1260"/>
        </w:tabs>
        <w:ind w:left="1260" w:hanging="1260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>Ralph Nash</w:t>
      </w:r>
      <w:r>
        <w:rPr>
          <w:rFonts w:ascii="Calibri" w:hAnsi="Calibri"/>
          <w:color w:val="000000"/>
          <w:sz w:val="22"/>
          <w:szCs w:val="22"/>
        </w:rPr>
        <w:t>, George Washington University School of Law</w:t>
      </w:r>
    </w:p>
    <w:bookmarkStart w:id="2" w:name="_MON_1473670287"/>
    <w:bookmarkEnd w:id="2"/>
    <w:p>
      <w:pPr>
        <w:tabs>
          <w:tab w:val="left" w:pos="1260"/>
        </w:tabs>
        <w:ind w:left="1260" w:hanging="1260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sz w:val="22"/>
          <w:szCs w:val="22"/>
        </w:rPr>
        <w:object w:dxaOrig="1501" w:dyaOrig="940">
          <v:shape id="_x0000_i1035" type="#_x0000_t75" style="width:74.75pt;height:48.2pt" o:ole="">
            <v:imagedata r:id="rId44" o:title=""/>
          </v:shape>
          <o:OLEObject Type="Embed" ProgID="Word.Document.8" ShapeID="_x0000_i1035" DrawAspect="Icon" ObjectID="_1474787037" r:id="rId45">
            <o:FieldCodes>\s</o:FieldCodes>
          </o:OLEObject>
        </w:object>
      </w:r>
    </w:p>
    <w:p>
      <w:pPr>
        <w:pStyle w:val="NormalWeb"/>
        <w:tabs>
          <w:tab w:val="left" w:pos="1260"/>
        </w:tabs>
        <w:ind w:left="1260" w:hanging="1260"/>
        <w:rPr>
          <w:rFonts w:ascii="Calibri" w:hAnsi="Calibri"/>
          <w:b/>
          <w:color w:val="000000"/>
          <w:sz w:val="22"/>
          <w:szCs w:val="22"/>
        </w:rPr>
      </w:pPr>
    </w:p>
    <w:p>
      <w:pPr>
        <w:pStyle w:val="NormalWeb"/>
        <w:tabs>
          <w:tab w:val="left" w:pos="1260"/>
        </w:tabs>
        <w:ind w:left="1260" w:hanging="1260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>Judge Elizabeth W. Newsom</w:t>
      </w:r>
      <w:r>
        <w:rPr>
          <w:rFonts w:ascii="Calibri" w:hAnsi="Calibri"/>
          <w:color w:val="000000"/>
          <w:sz w:val="22"/>
          <w:szCs w:val="22"/>
        </w:rPr>
        <w:t>; ASBCA</w:t>
      </w:r>
    </w:p>
    <w:p>
      <w:pPr>
        <w:pStyle w:val="NormalWeb"/>
        <w:tabs>
          <w:tab w:val="left" w:pos="1260"/>
        </w:tabs>
        <w:ind w:left="1260" w:hanging="1260"/>
        <w:rPr>
          <w:rFonts w:ascii="Calibri" w:hAnsi="Calibri"/>
          <w:b/>
          <w:color w:val="000000"/>
          <w:sz w:val="22"/>
          <w:szCs w:val="22"/>
        </w:rPr>
      </w:pPr>
      <w:r>
        <w:object w:dxaOrig="1501" w:dyaOrig="940">
          <v:shape id="_x0000_i1036" type="#_x0000_t75" style="width:74.75pt;height:47.1pt" o:ole="">
            <v:imagedata r:id="rId46" o:title=""/>
          </v:shape>
          <o:OLEObject Type="Embed" ProgID="AcroExch.Document.11" ShapeID="_x0000_i1036" DrawAspect="Icon" ObjectID="_1474787038" r:id="rId47"/>
        </w:object>
      </w:r>
    </w:p>
    <w:p>
      <w:pPr>
        <w:pStyle w:val="NormalWeb"/>
        <w:tabs>
          <w:tab w:val="left" w:pos="1260"/>
        </w:tabs>
        <w:ind w:left="1260" w:hanging="1260"/>
        <w:rPr>
          <w:rFonts w:ascii="Calibri" w:hAnsi="Calibri"/>
          <w:b/>
          <w:color w:val="000000"/>
          <w:sz w:val="22"/>
          <w:szCs w:val="22"/>
        </w:rPr>
      </w:pPr>
    </w:p>
    <w:p>
      <w:pPr>
        <w:pStyle w:val="NormalWeb"/>
        <w:tabs>
          <w:tab w:val="left" w:pos="1260"/>
        </w:tabs>
        <w:ind w:left="1260" w:hanging="1260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>Neil O’Donnell</w:t>
      </w:r>
      <w:r>
        <w:rPr>
          <w:rFonts w:ascii="Calibri" w:hAnsi="Calibri"/>
          <w:color w:val="000000"/>
          <w:sz w:val="22"/>
          <w:szCs w:val="22"/>
        </w:rPr>
        <w:t>, Rogers Joseph O’Donnell, PC</w:t>
      </w:r>
    </w:p>
    <w:p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22"/>
          <w:szCs w:val="22"/>
        </w:rPr>
      </w:pPr>
      <w:r>
        <w:rPr>
          <w:rFonts w:ascii="Calibri" w:hAnsi="Calibri"/>
          <w:sz w:val="22"/>
          <w:szCs w:val="22"/>
        </w:rPr>
        <w:object w:dxaOrig="1501" w:dyaOrig="940">
          <v:shape id="_x0000_i1037" type="#_x0000_t75" style="width:74.75pt;height:48.2pt" o:ole="">
            <v:imagedata r:id="rId48" o:title=""/>
          </v:shape>
          <o:OLEObject Type="Embed" ProgID="Word.Document.12" ShapeID="_x0000_i1037" DrawAspect="Icon" ObjectID="_1474787039" r:id="rId49">
            <o:FieldCodes>\s</o:FieldCodes>
          </o:OLEObject>
        </w:object>
      </w:r>
    </w:p>
    <w:p>
      <w:pPr>
        <w:pStyle w:val="NormalWeb"/>
        <w:tabs>
          <w:tab w:val="left" w:pos="1260"/>
        </w:tabs>
        <w:rPr>
          <w:rFonts w:ascii="Calibri" w:hAnsi="Calibri"/>
          <w:b/>
          <w:sz w:val="22"/>
          <w:szCs w:val="22"/>
        </w:rPr>
      </w:pPr>
    </w:p>
    <w:p>
      <w:pPr>
        <w:pStyle w:val="NormalWeb"/>
        <w:tabs>
          <w:tab w:val="left" w:pos="1260"/>
        </w:tabs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Heidi Osterhout</w:t>
      </w:r>
      <w:r>
        <w:rPr>
          <w:rFonts w:ascii="Calibri" w:hAnsi="Calibri"/>
          <w:sz w:val="22"/>
          <w:szCs w:val="22"/>
        </w:rPr>
        <w:t>, BCABA Case Digest Editor</w:t>
      </w:r>
    </w:p>
    <w:p>
      <w:pPr>
        <w:pStyle w:val="NormalWeb"/>
        <w:tabs>
          <w:tab w:val="left" w:pos="1260"/>
        </w:tabs>
        <w:rPr>
          <w:rFonts w:ascii="Calibri" w:hAnsi="Calibri"/>
          <w:sz w:val="22"/>
          <w:szCs w:val="22"/>
        </w:rPr>
      </w:pPr>
      <w:r>
        <w:object w:dxaOrig="1521" w:dyaOrig="953">
          <v:shape id="_x0000_i1038" type="#_x0000_t75" style="width:75.3pt;height:48.2pt" o:ole="">
            <v:imagedata r:id="rId50" o:title=""/>
          </v:shape>
          <o:OLEObject Type="Embed" ProgID="Word.Document.12" ShapeID="_x0000_i1038" DrawAspect="Icon" ObjectID="_1474787040" r:id="rId51">
            <o:FieldCodes>\s</o:FieldCodes>
          </o:OLEObject>
        </w:object>
      </w:r>
    </w:p>
    <w:p>
      <w:pPr>
        <w:pStyle w:val="NormalWeb"/>
        <w:tabs>
          <w:tab w:val="left" w:pos="1260"/>
        </w:tabs>
        <w:rPr>
          <w:rFonts w:ascii="Calibri" w:hAnsi="Calibri"/>
          <w:sz w:val="22"/>
          <w:szCs w:val="22"/>
        </w:rPr>
      </w:pPr>
    </w:p>
    <w:p>
      <w:pPr>
        <w:tabs>
          <w:tab w:val="left" w:pos="1260"/>
        </w:tabs>
        <w:ind w:left="1260" w:hanging="1260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  <w:r>
        <w:rPr>
          <w:rStyle w:val="Strong"/>
          <w:rFonts w:ascii="Calibri" w:hAnsi="Calibri"/>
          <w:bCs w:val="0"/>
          <w:color w:val="000000"/>
          <w:sz w:val="22"/>
          <w:szCs w:val="22"/>
        </w:rPr>
        <w:t xml:space="preserve">Judge Carol Park-Conroy </w:t>
      </w:r>
      <w:r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  <w:t>(ASBCA, Ret.) JAMS</w:t>
      </w:r>
    </w:p>
    <w:p>
      <w:pPr>
        <w:tabs>
          <w:tab w:val="left" w:pos="1260"/>
        </w:tabs>
        <w:ind w:left="1260" w:hanging="1260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  <w:r>
        <w:rPr>
          <w:rFonts w:ascii="Calibri" w:hAnsi="Calibri"/>
          <w:sz w:val="22"/>
          <w:szCs w:val="22"/>
        </w:rPr>
        <w:object w:dxaOrig="1501" w:dyaOrig="940">
          <v:shape id="_x0000_i1039" type="#_x0000_t75" style="width:74.75pt;height:48.2pt" o:ole="">
            <v:imagedata r:id="rId52" o:title=""/>
          </v:shape>
          <o:OLEObject Type="Embed" ProgID="AcroExch.Document.11" ShapeID="_x0000_i1039" DrawAspect="Icon" ObjectID="_1474787041" r:id="rId53"/>
        </w:object>
      </w:r>
      <w:r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  <w:tab/>
      </w:r>
    </w:p>
    <w:p>
      <w:pPr>
        <w:pStyle w:val="NormalWeb"/>
        <w:tabs>
          <w:tab w:val="left" w:pos="1260"/>
        </w:tabs>
        <w:rPr>
          <w:rFonts w:ascii="Calibri" w:hAnsi="Calibri"/>
          <w:b/>
          <w:color w:val="000000"/>
          <w:sz w:val="22"/>
          <w:szCs w:val="22"/>
        </w:rPr>
      </w:pPr>
    </w:p>
    <w:p>
      <w:pPr>
        <w:pStyle w:val="NormalWeb"/>
        <w:tabs>
          <w:tab w:val="left" w:pos="1260"/>
        </w:tabs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>Judge Peter Pontzer</w:t>
      </w:r>
      <w:r>
        <w:rPr>
          <w:rFonts w:ascii="Calibri" w:hAnsi="Calibri"/>
          <w:color w:val="000000"/>
          <w:sz w:val="22"/>
          <w:szCs w:val="22"/>
        </w:rPr>
        <w:t>, PSBCA</w:t>
      </w:r>
    </w:p>
    <w:p>
      <w:pPr>
        <w:pStyle w:val="NormalWeb"/>
        <w:tabs>
          <w:tab w:val="left" w:pos="1260"/>
        </w:tabs>
        <w:rPr>
          <w:rFonts w:ascii="Calibri" w:hAnsi="Calibri"/>
          <w:b/>
          <w:sz w:val="22"/>
          <w:szCs w:val="22"/>
        </w:rPr>
      </w:pPr>
      <w:r>
        <w:object w:dxaOrig="1501" w:dyaOrig="940">
          <v:shape id="_x0000_i1040" type="#_x0000_t75" style="width:74.75pt;height:47.1pt" o:ole="">
            <v:imagedata r:id="rId54" o:title=""/>
          </v:shape>
          <o:OLEObject Type="Embed" ProgID="AcroExch.Document.11" ShapeID="_x0000_i1040" DrawAspect="Icon" ObjectID="_1474787042" r:id="rId55"/>
        </w:object>
      </w:r>
    </w:p>
    <w:p>
      <w:pPr>
        <w:pStyle w:val="NormalWeb"/>
        <w:tabs>
          <w:tab w:val="left" w:pos="1260"/>
        </w:tabs>
        <w:rPr>
          <w:rFonts w:ascii="Calibri" w:hAnsi="Calibri"/>
          <w:b/>
          <w:sz w:val="22"/>
          <w:szCs w:val="22"/>
        </w:rPr>
      </w:pPr>
    </w:p>
    <w:p>
      <w:pPr>
        <w:pStyle w:val="NormalWeb"/>
        <w:tabs>
          <w:tab w:val="left" w:pos="1260"/>
        </w:tabs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The Honorable</w:t>
      </w:r>
      <w:r>
        <w:rPr>
          <w:rFonts w:ascii="Calibri" w:hAnsi="Calibri"/>
          <w:sz w:val="22"/>
          <w:szCs w:val="22"/>
        </w:rPr>
        <w:t xml:space="preserve"> </w:t>
      </w:r>
      <w:r>
        <w:rPr>
          <w:rFonts w:ascii="Calibri" w:hAnsi="Calibri"/>
          <w:b/>
          <w:sz w:val="22"/>
          <w:szCs w:val="22"/>
        </w:rPr>
        <w:t>Anne Rung</w:t>
      </w:r>
      <w:r>
        <w:rPr>
          <w:rFonts w:ascii="Calibri" w:hAnsi="Calibri"/>
          <w:sz w:val="22"/>
          <w:szCs w:val="22"/>
        </w:rPr>
        <w:t>, Administrator for Federal Procurement Policy</w:t>
      </w:r>
    </w:p>
    <w:p>
      <w:pPr>
        <w:pStyle w:val="NormalWeb"/>
        <w:tabs>
          <w:tab w:val="left" w:pos="1260"/>
        </w:tabs>
        <w:rPr>
          <w:rFonts w:ascii="Calibri" w:hAnsi="Calibri"/>
          <w:sz w:val="22"/>
          <w:szCs w:val="22"/>
        </w:rPr>
      </w:pPr>
      <w:r>
        <w:object w:dxaOrig="1501" w:dyaOrig="940">
          <v:shape id="_x0000_i1041" type="#_x0000_t75" style="width:74.75pt;height:47.1pt" o:ole="">
            <v:imagedata r:id="rId56" o:title=""/>
          </v:shape>
          <o:OLEObject Type="Embed" ProgID="AcroExch.Document.11" ShapeID="_x0000_i1041" DrawAspect="Icon" ObjectID="_1474787043" r:id="rId57"/>
        </w:object>
      </w:r>
    </w:p>
    <w:p>
      <w:pPr>
        <w:pStyle w:val="NormalWeb"/>
        <w:tabs>
          <w:tab w:val="left" w:pos="1260"/>
        </w:tabs>
        <w:rPr>
          <w:rFonts w:ascii="Calibri" w:hAnsi="Calibri"/>
          <w:sz w:val="22"/>
          <w:szCs w:val="22"/>
        </w:rPr>
      </w:pPr>
    </w:p>
    <w:p>
      <w:pPr>
        <w:tabs>
          <w:tab w:val="left" w:pos="1260"/>
        </w:tabs>
        <w:ind w:left="1260" w:hanging="1260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  <w:r>
        <w:rPr>
          <w:rStyle w:val="Strong"/>
          <w:rFonts w:ascii="Calibri" w:hAnsi="Calibri"/>
          <w:bCs w:val="0"/>
          <w:color w:val="000000"/>
          <w:sz w:val="22"/>
          <w:szCs w:val="22"/>
        </w:rPr>
        <w:t>Kara Sacilotto,</w:t>
      </w:r>
      <w:r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  <w:t xml:space="preserve"> Wiley Rein LLP</w:t>
      </w:r>
    </w:p>
    <w:p>
      <w:pPr>
        <w:tabs>
          <w:tab w:val="left" w:pos="1260"/>
        </w:tabs>
        <w:ind w:left="1260" w:hanging="1260"/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sz w:val="22"/>
          <w:szCs w:val="22"/>
        </w:rPr>
        <w:object w:dxaOrig="1501" w:dyaOrig="940">
          <v:shape id="_x0000_i1042" type="#_x0000_t75" style="width:74.75pt;height:48.2pt" o:ole="">
            <v:imagedata r:id="rId58" o:title=""/>
          </v:shape>
          <o:OLEObject Type="Embed" ProgID="AcroExch.Document.11" ShapeID="_x0000_i1042" DrawAspect="Icon" ObjectID="_1474787044" r:id="rId59"/>
        </w:object>
      </w:r>
    </w:p>
    <w:p>
      <w:pPr>
        <w:tabs>
          <w:tab w:val="left" w:pos="1260"/>
        </w:tabs>
        <w:ind w:left="1260" w:hanging="1260"/>
        <w:rPr>
          <w:rFonts w:ascii="Calibri" w:hAnsi="Calibri"/>
          <w:b/>
          <w:sz w:val="22"/>
          <w:szCs w:val="22"/>
        </w:rPr>
      </w:pPr>
    </w:p>
    <w:p>
      <w:pPr>
        <w:tabs>
          <w:tab w:val="left" w:pos="1260"/>
        </w:tabs>
        <w:ind w:left="1260" w:hanging="1260"/>
        <w:rPr>
          <w:rFonts w:ascii="Calibri" w:hAnsi="Calibri"/>
          <w:b/>
          <w:sz w:val="22"/>
          <w:szCs w:val="22"/>
        </w:rPr>
      </w:pPr>
    </w:p>
    <w:p>
      <w:pPr>
        <w:tabs>
          <w:tab w:val="left" w:pos="1260"/>
        </w:tabs>
        <w:ind w:left="1260" w:hanging="1260"/>
        <w:rPr>
          <w:rFonts w:ascii="Calibri" w:hAnsi="Calibri"/>
          <w:b/>
          <w:sz w:val="22"/>
          <w:szCs w:val="22"/>
        </w:rPr>
      </w:pPr>
    </w:p>
    <w:p>
      <w:pPr>
        <w:tabs>
          <w:tab w:val="left" w:pos="1260"/>
        </w:tabs>
        <w:ind w:left="1260" w:hanging="1260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Ron Schechter</w:t>
      </w:r>
      <w:r>
        <w:rPr>
          <w:rFonts w:ascii="Calibri" w:hAnsi="Calibri"/>
          <w:sz w:val="22"/>
          <w:szCs w:val="22"/>
        </w:rPr>
        <w:t>, Arnold &amp; Porter LLP</w:t>
      </w:r>
    </w:p>
    <w:p>
      <w:pPr>
        <w:tabs>
          <w:tab w:val="left" w:pos="1260"/>
        </w:tabs>
        <w:ind w:left="1260" w:hanging="126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object w:dxaOrig="1501" w:dyaOrig="940">
          <v:shape id="_x0000_i1043" type="#_x0000_t75" style="width:74.75pt;height:48.2pt" o:ole="">
            <v:imagedata r:id="rId60" o:title=""/>
          </v:shape>
          <o:OLEObject Type="Embed" ProgID="AcroExch.Document.11" ShapeID="_x0000_i1043" DrawAspect="Icon" ObjectID="_1474787045" r:id="rId61"/>
        </w:object>
      </w:r>
    </w:p>
    <w:p>
      <w:pPr>
        <w:tabs>
          <w:tab w:val="left" w:pos="1260"/>
        </w:tabs>
        <w:ind w:left="1260" w:hanging="1260"/>
        <w:rPr>
          <w:rFonts w:ascii="Calibri" w:hAnsi="Calibri"/>
          <w:b/>
          <w:sz w:val="22"/>
          <w:szCs w:val="22"/>
        </w:rPr>
      </w:pPr>
    </w:p>
    <w:p>
      <w:pPr>
        <w:tabs>
          <w:tab w:val="left" w:pos="1260"/>
        </w:tabs>
        <w:ind w:left="1260" w:hanging="1260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Judge Gary Shapiro</w:t>
      </w:r>
      <w:r>
        <w:rPr>
          <w:rFonts w:ascii="Calibri" w:hAnsi="Calibri"/>
          <w:sz w:val="22"/>
          <w:szCs w:val="22"/>
        </w:rPr>
        <w:t>, PSBCA</w:t>
      </w:r>
    </w:p>
    <w:p>
      <w:pPr>
        <w:tabs>
          <w:tab w:val="left" w:pos="1260"/>
        </w:tabs>
        <w:ind w:left="1260" w:hanging="1260"/>
        <w:rPr>
          <w:rFonts w:ascii="Calibri" w:hAnsi="Calibri"/>
          <w:sz w:val="22"/>
          <w:szCs w:val="22"/>
        </w:rPr>
      </w:pPr>
      <w:r>
        <w:object w:dxaOrig="1501" w:dyaOrig="940">
          <v:shape id="_x0000_i1044" type="#_x0000_t75" style="width:75.3pt;height:47.1pt" o:ole="">
            <v:imagedata r:id="rId62" o:title=""/>
          </v:shape>
          <o:OLEObject Type="Embed" ProgID="Word.Document.12" ShapeID="_x0000_i1044" DrawAspect="Icon" ObjectID="_1474787046" r:id="rId63">
            <o:FieldCodes>\s</o:FieldCodes>
          </o:OLEObject>
        </w:object>
      </w:r>
    </w:p>
    <w:p>
      <w:pPr>
        <w:tabs>
          <w:tab w:val="left" w:pos="1260"/>
        </w:tabs>
        <w:ind w:left="1260" w:hanging="1260"/>
        <w:rPr>
          <w:rFonts w:ascii="Calibri" w:hAnsi="Calibri"/>
          <w:sz w:val="22"/>
          <w:szCs w:val="22"/>
        </w:rPr>
      </w:pPr>
    </w:p>
    <w:p>
      <w:pPr>
        <w:tabs>
          <w:tab w:val="left" w:pos="1260"/>
        </w:tabs>
        <w:ind w:left="1260" w:hanging="1260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Jennifer Short</w:t>
      </w:r>
      <w:r>
        <w:rPr>
          <w:rFonts w:ascii="Calibri" w:hAnsi="Calibri"/>
          <w:sz w:val="22"/>
          <w:szCs w:val="22"/>
        </w:rPr>
        <w:t xml:space="preserve">, U.S. Attorney’s Office for the District of Columbia </w:t>
      </w:r>
    </w:p>
    <w:p>
      <w:pPr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22"/>
          <w:szCs w:val="22"/>
        </w:rPr>
      </w:pPr>
    </w:p>
    <w:p>
      <w:pPr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22"/>
          <w:szCs w:val="22"/>
        </w:rPr>
      </w:pPr>
    </w:p>
    <w:p>
      <w:pPr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22"/>
          <w:szCs w:val="22"/>
        </w:rPr>
      </w:pPr>
    </w:p>
    <w:p>
      <w:pPr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22"/>
          <w:szCs w:val="22"/>
        </w:rPr>
      </w:pPr>
    </w:p>
    <w:p>
      <w:pPr>
        <w:tabs>
          <w:tab w:val="left" w:pos="1260"/>
        </w:tabs>
        <w:ind w:left="1260" w:hanging="1260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  <w:r>
        <w:rPr>
          <w:rStyle w:val="Strong"/>
          <w:rFonts w:ascii="Calibri" w:hAnsi="Calibri"/>
          <w:bCs w:val="0"/>
          <w:color w:val="000000"/>
          <w:sz w:val="22"/>
          <w:szCs w:val="22"/>
        </w:rPr>
        <w:t>Craig Smith</w:t>
      </w:r>
      <w:r>
        <w:rPr>
          <w:rStyle w:val="Strong"/>
          <w:rFonts w:ascii="Calibri" w:hAnsi="Calibri"/>
          <w:bCs w:val="0"/>
          <w:i/>
          <w:color w:val="000000"/>
          <w:sz w:val="22"/>
          <w:szCs w:val="22"/>
        </w:rPr>
        <w:t xml:space="preserve">, </w:t>
      </w:r>
      <w:r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  <w:t>Wiley Rein LLP</w:t>
      </w:r>
    </w:p>
    <w:p>
      <w:pPr>
        <w:tabs>
          <w:tab w:val="left" w:pos="1260"/>
        </w:tabs>
        <w:ind w:left="1260" w:hanging="1260"/>
        <w:rPr>
          <w:rStyle w:val="Strong"/>
          <w:rFonts w:ascii="Calibri" w:hAnsi="Calibri"/>
          <w:b w:val="0"/>
          <w:bCs w:val="0"/>
          <w:color w:val="000000"/>
          <w:sz w:val="22"/>
          <w:szCs w:val="22"/>
        </w:rPr>
      </w:pPr>
      <w:r>
        <w:rPr>
          <w:rFonts w:ascii="Calibri" w:hAnsi="Calibri"/>
          <w:sz w:val="22"/>
          <w:szCs w:val="22"/>
        </w:rPr>
        <w:object w:dxaOrig="1501" w:dyaOrig="940">
          <v:shape id="_x0000_i1045" type="#_x0000_t75" style="width:74.75pt;height:48.2pt" o:ole="">
            <v:imagedata r:id="rId64" o:title=""/>
          </v:shape>
          <o:OLEObject Type="Embed" ProgID="AcroExch.Document.11" ShapeID="_x0000_i1045" DrawAspect="Icon" ObjectID="_1474787047" r:id="rId65"/>
        </w:object>
      </w:r>
    </w:p>
    <w:p>
      <w:pPr>
        <w:tabs>
          <w:tab w:val="left" w:pos="1260"/>
        </w:tabs>
        <w:ind w:left="1260" w:hanging="1260"/>
        <w:rPr>
          <w:rFonts w:ascii="Calibri" w:hAnsi="Calibri"/>
          <w:b/>
          <w:color w:val="000000"/>
          <w:sz w:val="22"/>
          <w:szCs w:val="22"/>
        </w:rPr>
      </w:pPr>
    </w:p>
    <w:p>
      <w:pPr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>Bryant Snee</w:t>
      </w:r>
      <w:r>
        <w:rPr>
          <w:rFonts w:ascii="Calibri" w:hAnsi="Calibri"/>
          <w:color w:val="000000"/>
          <w:sz w:val="22"/>
          <w:szCs w:val="22"/>
        </w:rPr>
        <w:t>, United States Department of Justice, Civil Division</w:t>
      </w:r>
    </w:p>
    <w:p>
      <w:pPr>
        <w:pStyle w:val="Default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object w:dxaOrig="1501" w:dyaOrig="940">
          <v:shape id="_x0000_i1046" type="#_x0000_t75" style="width:74.75pt;height:48.2pt" o:ole="">
            <v:imagedata r:id="rId66" o:title=""/>
          </v:shape>
          <o:OLEObject Type="Embed" ProgID="AcroExch.Document.11" ShapeID="_x0000_i1046" DrawAspect="Icon" ObjectID="_1474787048" r:id="rId67"/>
        </w:object>
      </w:r>
    </w:p>
    <w:p>
      <w:pPr>
        <w:pStyle w:val="NormalWeb"/>
        <w:tabs>
          <w:tab w:val="left" w:pos="1260"/>
        </w:tabs>
        <w:rPr>
          <w:rFonts w:ascii="Calibri" w:hAnsi="Calibri"/>
          <w:b/>
          <w:sz w:val="22"/>
          <w:szCs w:val="22"/>
        </w:rPr>
      </w:pPr>
    </w:p>
    <w:p>
      <w:pPr>
        <w:pStyle w:val="NormalWeb"/>
        <w:tabs>
          <w:tab w:val="left" w:pos="1260"/>
        </w:tabs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Tara Ward</w:t>
      </w:r>
      <w:r>
        <w:rPr>
          <w:rFonts w:ascii="Calibri" w:hAnsi="Calibri"/>
          <w:sz w:val="22"/>
          <w:szCs w:val="22"/>
        </w:rPr>
        <w:t>, Wiley Rein LLP</w:t>
      </w:r>
    </w:p>
    <w:p>
      <w:pPr>
        <w:pStyle w:val="NormalWeb"/>
        <w:tabs>
          <w:tab w:val="left" w:pos="1260"/>
        </w:tabs>
        <w:rPr>
          <w:rFonts w:ascii="Calibri" w:hAnsi="Calibri"/>
          <w:sz w:val="22"/>
          <w:szCs w:val="22"/>
        </w:rPr>
      </w:pPr>
      <w:r>
        <w:object w:dxaOrig="1501" w:dyaOrig="940">
          <v:shape id="_x0000_i1047" type="#_x0000_t75" style="width:74.75pt;height:47.1pt" o:ole="">
            <v:imagedata r:id="rId68" o:title=""/>
          </v:shape>
          <o:OLEObject Type="Embed" ProgID="Word.Document.12" ShapeID="_x0000_i1047" DrawAspect="Icon" ObjectID="_1474787049" r:id="rId69">
            <o:FieldCodes>\s</o:FieldCodes>
          </o:OLEObject>
        </w:object>
      </w:r>
    </w:p>
    <w:p>
      <w:pPr>
        <w:pStyle w:val="NormalWeb"/>
        <w:tabs>
          <w:tab w:val="left" w:pos="1260"/>
        </w:tabs>
        <w:rPr>
          <w:rFonts w:ascii="Calibri" w:hAnsi="Calibri"/>
          <w:b/>
          <w:sz w:val="22"/>
          <w:szCs w:val="22"/>
        </w:rPr>
      </w:pPr>
    </w:p>
    <w:p>
      <w:pPr>
        <w:pStyle w:val="NormalWeb"/>
        <w:tabs>
          <w:tab w:val="left" w:pos="1260"/>
        </w:tabs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David Weber</w:t>
      </w:r>
      <w:r>
        <w:rPr>
          <w:rFonts w:ascii="Calibri" w:hAnsi="Calibri"/>
          <w:sz w:val="22"/>
          <w:szCs w:val="22"/>
        </w:rPr>
        <w:t>, Arnold &amp; Porter LLP</w:t>
      </w:r>
    </w:p>
    <w:p>
      <w:pPr>
        <w:pStyle w:val="NormalWeb"/>
        <w:tabs>
          <w:tab w:val="left" w:pos="720"/>
        </w:tabs>
        <w:rPr>
          <w:rFonts w:ascii="Calibri" w:hAnsi="Calibri"/>
          <w:b/>
          <w:color w:val="000000"/>
          <w:sz w:val="22"/>
          <w:szCs w:val="22"/>
        </w:rPr>
      </w:pPr>
      <w:r>
        <w:object w:dxaOrig="1501" w:dyaOrig="940">
          <v:shape id="_x0000_i1048" type="#_x0000_t75" style="width:74.75pt;height:47.1pt" o:ole="">
            <v:imagedata r:id="rId70" o:title=""/>
          </v:shape>
          <o:OLEObject Type="Embed" ProgID="AcroExch.Document.11" ShapeID="_x0000_i1048" DrawAspect="Icon" ObjectID="_1474787050" r:id="rId71"/>
        </w:object>
      </w:r>
    </w:p>
    <w:p>
      <w:pPr>
        <w:pStyle w:val="NormalWeb"/>
        <w:tabs>
          <w:tab w:val="left" w:pos="720"/>
        </w:tabs>
        <w:rPr>
          <w:rFonts w:ascii="Calibri" w:hAnsi="Calibri"/>
          <w:b/>
          <w:color w:val="000000"/>
          <w:sz w:val="22"/>
          <w:szCs w:val="22"/>
        </w:rPr>
      </w:pPr>
    </w:p>
    <w:p>
      <w:pPr>
        <w:pStyle w:val="NormalWeb"/>
        <w:tabs>
          <w:tab w:val="left" w:pos="720"/>
        </w:tabs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 xml:space="preserve">Judge Jonathan Zischkau, </w:t>
      </w:r>
      <w:r>
        <w:rPr>
          <w:rFonts w:ascii="Calibri" w:hAnsi="Calibri"/>
          <w:color w:val="000000"/>
          <w:sz w:val="22"/>
          <w:szCs w:val="22"/>
        </w:rPr>
        <w:t>CBCA</w:t>
      </w:r>
    </w:p>
    <w:p>
      <w:pPr>
        <w:pStyle w:val="NormalWeb"/>
        <w:tabs>
          <w:tab w:val="left" w:pos="720"/>
        </w:tabs>
        <w:rPr>
          <w:rStyle w:val="Strong"/>
          <w:rFonts w:ascii="Calibri" w:hAnsi="Calibri"/>
          <w:b w:val="0"/>
          <w:bCs w:val="0"/>
          <w:sz w:val="22"/>
          <w:szCs w:val="22"/>
        </w:rPr>
      </w:pPr>
      <w:r>
        <w:object w:dxaOrig="1501" w:dyaOrig="940">
          <v:shape id="_x0000_i1049" type="#_x0000_t75" style="width:74.75pt;height:47.1pt" o:ole="">
            <v:imagedata r:id="rId72" o:title=""/>
          </v:shape>
          <o:OLEObject Type="Embed" ProgID="AcroExch.Document.11" ShapeID="_x0000_i1049" DrawAspect="Icon" ObjectID="_1474787051" r:id="rId73"/>
        </w:object>
      </w:r>
    </w:p>
    <w:p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22"/>
          <w:szCs w:val="22"/>
        </w:rPr>
      </w:pPr>
    </w:p>
    <w:p>
      <w:pPr>
        <w:spacing w:after="200" w:line="276" w:lineRule="auto"/>
        <w:rPr>
          <w:rStyle w:val="Strong"/>
          <w:rFonts w:ascii="Calibri" w:hAnsi="Calibri"/>
          <w:bCs w:val="0"/>
          <w:color w:val="000000"/>
          <w:sz w:val="22"/>
          <w:szCs w:val="22"/>
        </w:rPr>
      </w:pPr>
      <w:r>
        <w:rPr>
          <w:rStyle w:val="Strong"/>
          <w:rFonts w:ascii="Calibri" w:hAnsi="Calibri"/>
          <w:bCs w:val="0"/>
          <w:color w:val="000000"/>
          <w:sz w:val="22"/>
          <w:szCs w:val="22"/>
        </w:rPr>
        <w:br w:type="page"/>
      </w:r>
    </w:p>
    <w:p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32"/>
          <w:szCs w:val="32"/>
        </w:rPr>
      </w:pPr>
      <w:r>
        <w:rPr>
          <w:rStyle w:val="Strong"/>
          <w:rFonts w:ascii="Calibri" w:hAnsi="Calibri"/>
          <w:bCs w:val="0"/>
          <w:color w:val="000000"/>
          <w:sz w:val="32"/>
          <w:szCs w:val="32"/>
        </w:rPr>
        <w:lastRenderedPageBreak/>
        <w:t>Tab 4</w:t>
      </w:r>
    </w:p>
    <w:p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32"/>
          <w:szCs w:val="32"/>
        </w:rPr>
      </w:pPr>
    </w:p>
    <w:p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32"/>
          <w:szCs w:val="32"/>
        </w:rPr>
      </w:pPr>
      <w:r>
        <w:rPr>
          <w:rStyle w:val="Strong"/>
          <w:rFonts w:ascii="Calibri" w:hAnsi="Calibri"/>
          <w:bCs w:val="0"/>
          <w:color w:val="000000"/>
          <w:sz w:val="32"/>
          <w:szCs w:val="32"/>
        </w:rPr>
        <w:t>Panel No. 1 (9:00 - 10:15)</w:t>
      </w:r>
    </w:p>
    <w:p>
      <w:pPr>
        <w:pStyle w:val="NormalWeb"/>
        <w:tabs>
          <w:tab w:val="left" w:pos="1260"/>
        </w:tabs>
        <w:ind w:left="1260" w:hanging="1260"/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b/>
          <w:sz w:val="32"/>
          <w:szCs w:val="32"/>
        </w:rPr>
        <w:t>FEDERAL CIRCUIT DECISIONS: RECENT DEVELOPMENTS</w:t>
      </w:r>
    </w:p>
    <w:p>
      <w:pPr>
        <w:pStyle w:val="NormalWeb"/>
        <w:tabs>
          <w:tab w:val="left" w:pos="1260"/>
        </w:tabs>
        <w:ind w:left="1260" w:hanging="1260"/>
        <w:rPr>
          <w:rFonts w:ascii="Calibri" w:hAnsi="Calibri"/>
          <w:b/>
          <w:sz w:val="22"/>
          <w:szCs w:val="22"/>
        </w:rPr>
      </w:pPr>
    </w:p>
    <w:p>
      <w:pPr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22"/>
          <w:szCs w:val="22"/>
        </w:rPr>
      </w:pPr>
      <w:r>
        <w:rPr>
          <w:rStyle w:val="Strong"/>
          <w:rFonts w:ascii="Calibri" w:hAnsi="Calibri"/>
          <w:bCs w:val="0"/>
          <w:color w:val="000000"/>
          <w:sz w:val="22"/>
          <w:szCs w:val="22"/>
        </w:rPr>
        <w:t>Moderator: Judge Carol Park-Conroy (ASBCA, Ret.) JAMS</w:t>
      </w:r>
      <w:r>
        <w:rPr>
          <w:rStyle w:val="Strong"/>
          <w:rFonts w:ascii="Calibri" w:hAnsi="Calibri"/>
          <w:bCs w:val="0"/>
          <w:color w:val="000000"/>
          <w:sz w:val="22"/>
          <w:szCs w:val="22"/>
        </w:rPr>
        <w:tab/>
      </w:r>
    </w:p>
    <w:p>
      <w:pPr>
        <w:pStyle w:val="NormalWeb"/>
        <w:tabs>
          <w:tab w:val="left" w:pos="0"/>
        </w:tabs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b/>
          <w:bCs/>
          <w:sz w:val="22"/>
          <w:szCs w:val="22"/>
        </w:rPr>
        <w:t>Panelists:</w:t>
      </w:r>
      <w:r>
        <w:rPr>
          <w:rFonts w:ascii="Calibri" w:hAnsi="Calibri"/>
          <w:color w:val="000000"/>
          <w:sz w:val="22"/>
          <w:szCs w:val="22"/>
        </w:rPr>
        <w:t xml:space="preserve"> </w:t>
      </w:r>
      <w:r>
        <w:rPr>
          <w:rFonts w:ascii="Calibri" w:hAnsi="Calibri"/>
          <w:b/>
          <w:color w:val="000000"/>
          <w:sz w:val="22"/>
          <w:szCs w:val="22"/>
        </w:rPr>
        <w:t>Stan Johnson</w:t>
      </w:r>
      <w:r>
        <w:rPr>
          <w:rFonts w:ascii="Calibri" w:hAnsi="Calibri"/>
          <w:color w:val="000000"/>
          <w:sz w:val="22"/>
          <w:szCs w:val="22"/>
        </w:rPr>
        <w:t xml:space="preserve">, Crowell &amp; Moring LLP; </w:t>
      </w:r>
      <w:r>
        <w:rPr>
          <w:rFonts w:ascii="Calibri" w:hAnsi="Calibri"/>
          <w:b/>
          <w:color w:val="000000"/>
          <w:sz w:val="22"/>
          <w:szCs w:val="22"/>
        </w:rPr>
        <w:t>Ralph Nash</w:t>
      </w:r>
      <w:r>
        <w:rPr>
          <w:rFonts w:ascii="Calibri" w:hAnsi="Calibri"/>
          <w:color w:val="000000"/>
          <w:sz w:val="22"/>
          <w:szCs w:val="22"/>
        </w:rPr>
        <w:t xml:space="preserve">, George Washington University School of Law; </w:t>
      </w:r>
      <w:r>
        <w:rPr>
          <w:rFonts w:ascii="Calibri" w:hAnsi="Calibri"/>
          <w:b/>
          <w:color w:val="000000"/>
          <w:sz w:val="22"/>
          <w:szCs w:val="22"/>
        </w:rPr>
        <w:t>Neil O’Donnell</w:t>
      </w:r>
      <w:r>
        <w:rPr>
          <w:rFonts w:ascii="Calibri" w:hAnsi="Calibri"/>
          <w:color w:val="000000"/>
          <w:sz w:val="22"/>
          <w:szCs w:val="22"/>
        </w:rPr>
        <w:t xml:space="preserve">, Rogers Joseph O’Donnell, PC; </w:t>
      </w:r>
      <w:r>
        <w:rPr>
          <w:rFonts w:ascii="Calibri" w:hAnsi="Calibri"/>
          <w:b/>
          <w:color w:val="000000"/>
          <w:sz w:val="22"/>
          <w:szCs w:val="22"/>
        </w:rPr>
        <w:t>Bryant Snee</w:t>
      </w:r>
      <w:r>
        <w:rPr>
          <w:rFonts w:ascii="Calibri" w:hAnsi="Calibri"/>
          <w:color w:val="000000"/>
          <w:sz w:val="22"/>
          <w:szCs w:val="22"/>
        </w:rPr>
        <w:t>, United States Department of Justice, Civil Division</w:t>
      </w:r>
    </w:p>
    <w:p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 w:val="0"/>
          <w:sz w:val="22"/>
          <w:szCs w:val="22"/>
        </w:rPr>
      </w:pPr>
    </w:p>
    <w:p>
      <w:pPr>
        <w:tabs>
          <w:tab w:val="left" w:pos="1260"/>
        </w:tabs>
        <w:rPr>
          <w:rFonts w:ascii="Calibri" w:hAnsi="Calibri"/>
          <w:bCs/>
          <w:sz w:val="22"/>
          <w:szCs w:val="22"/>
        </w:rPr>
      </w:pPr>
      <w:r>
        <w:rPr>
          <w:rFonts w:ascii="Calibri" w:hAnsi="Calibri"/>
          <w:bCs/>
          <w:sz w:val="22"/>
          <w:szCs w:val="22"/>
        </w:rPr>
        <w:t>The Panelists will discuss the following significant contract decisions from the Federal Circuit in the past year:</w:t>
      </w:r>
    </w:p>
    <w:p>
      <w:pPr>
        <w:tabs>
          <w:tab w:val="left" w:pos="1260"/>
        </w:tabs>
        <w:ind w:left="1260" w:hanging="1260"/>
        <w:rPr>
          <w:rFonts w:ascii="Calibri" w:hAnsi="Calibri"/>
          <w:bCs/>
          <w:sz w:val="22"/>
          <w:szCs w:val="22"/>
        </w:rPr>
      </w:pPr>
    </w:p>
    <w:p>
      <w:pPr>
        <w:pStyle w:val="Heading3"/>
        <w:numPr>
          <w:ilvl w:val="0"/>
          <w:numId w:val="31"/>
        </w:numPr>
        <w:spacing w:after="0"/>
        <w:rPr>
          <w:rFonts w:ascii="Calibri" w:hAnsi="Calibri"/>
          <w:color w:val="auto"/>
          <w:sz w:val="22"/>
          <w:szCs w:val="22"/>
        </w:rPr>
      </w:pPr>
      <w:r>
        <w:rPr>
          <w:rFonts w:ascii="Calibri" w:hAnsi="Calibri"/>
          <w:i/>
          <w:color w:val="auto"/>
          <w:sz w:val="22"/>
          <w:szCs w:val="22"/>
        </w:rPr>
        <w:t>CMS Contract Management Services, et al. v. United States</w:t>
      </w:r>
      <w:r>
        <w:rPr>
          <w:rFonts w:ascii="Calibri" w:hAnsi="Calibri"/>
          <w:color w:val="auto"/>
          <w:sz w:val="22"/>
          <w:szCs w:val="22"/>
        </w:rPr>
        <w:t xml:space="preserve"> (The HUD Cases)</w:t>
      </w:r>
    </w:p>
    <w:p>
      <w:pPr>
        <w:tabs>
          <w:tab w:val="left" w:pos="1260"/>
        </w:tabs>
        <w:ind w:left="72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 xml:space="preserve">745 F.3d 1379 (Fed. Cir. Mar. 25, 2014), </w:t>
      </w:r>
      <w:r>
        <w:rPr>
          <w:rFonts w:ascii="Calibri" w:hAnsi="Calibri"/>
          <w:i/>
          <w:sz w:val="22"/>
          <w:szCs w:val="22"/>
        </w:rPr>
        <w:t>reh’g denied</w:t>
      </w:r>
      <w:r>
        <w:rPr>
          <w:rFonts w:ascii="Calibri" w:hAnsi="Calibri"/>
          <w:sz w:val="22"/>
          <w:szCs w:val="22"/>
        </w:rPr>
        <w:t xml:space="preserve"> Aug. 8, 2014 - O’Donnell</w:t>
      </w:r>
    </w:p>
    <w:p>
      <w:pPr>
        <w:tabs>
          <w:tab w:val="left" w:pos="1260"/>
        </w:tabs>
        <w:ind w:left="72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object w:dxaOrig="1501" w:dyaOrig="940">
          <v:shape id="_x0000_i1050" type="#_x0000_t75" style="width:74.75pt;height:48.2pt" o:ole="">
            <v:imagedata r:id="rId74" o:title=""/>
          </v:shape>
          <o:OLEObject Type="Embed" ProgID="Word.Document.8" ShapeID="_x0000_i1050" DrawAspect="Icon" ObjectID="_1474787052" r:id="rId75">
            <o:FieldCodes>\s</o:FieldCodes>
          </o:OLEObject>
        </w:object>
      </w:r>
      <w:r>
        <w:rPr>
          <w:rFonts w:ascii="Calibri" w:hAnsi="Calibri"/>
          <w:sz w:val="22"/>
          <w:szCs w:val="22"/>
        </w:rPr>
        <w:object w:dxaOrig="1501" w:dyaOrig="940">
          <v:shape id="_x0000_i1051" type="#_x0000_t75" style="width:74.75pt;height:48.2pt" o:ole="">
            <v:imagedata r:id="rId76" o:title=""/>
          </v:shape>
          <o:OLEObject Type="Embed" ProgID="Word.Document.8" ShapeID="_x0000_i1051" DrawAspect="Icon" ObjectID="_1474787053" r:id="rId77">
            <o:FieldCodes>\s</o:FieldCodes>
          </o:OLEObject>
        </w:object>
      </w:r>
    </w:p>
    <w:p>
      <w:pPr>
        <w:tabs>
          <w:tab w:val="left" w:pos="1260"/>
        </w:tabs>
        <w:ind w:left="720"/>
        <w:rPr>
          <w:rFonts w:ascii="Calibri" w:hAnsi="Calibri"/>
          <w:bCs/>
          <w:sz w:val="22"/>
          <w:szCs w:val="22"/>
        </w:rPr>
      </w:pPr>
    </w:p>
    <w:p>
      <w:pPr>
        <w:numPr>
          <w:ilvl w:val="0"/>
          <w:numId w:val="31"/>
        </w:numPr>
        <w:tabs>
          <w:tab w:val="left" w:pos="1260"/>
        </w:tabs>
        <w:rPr>
          <w:rFonts w:ascii="Calibri" w:hAnsi="Calibri"/>
          <w:iCs/>
          <w:sz w:val="22"/>
          <w:szCs w:val="22"/>
        </w:rPr>
      </w:pPr>
      <w:r>
        <w:rPr>
          <w:rFonts w:ascii="Calibri" w:hAnsi="Calibri"/>
          <w:i/>
          <w:iCs/>
          <w:sz w:val="22"/>
          <w:szCs w:val="22"/>
        </w:rPr>
        <w:t>Metcalf Construction Co. v. United States</w:t>
      </w:r>
      <w:r>
        <w:rPr>
          <w:rFonts w:ascii="Calibri" w:hAnsi="Calibri"/>
          <w:iCs/>
          <w:sz w:val="22"/>
          <w:szCs w:val="22"/>
        </w:rPr>
        <w:t>,  742 F.3d 984 (Fed. Cir. 2014) - Nash</w:t>
      </w:r>
    </w:p>
    <w:p>
      <w:pPr>
        <w:tabs>
          <w:tab w:val="left" w:pos="1260"/>
        </w:tabs>
        <w:ind w:left="72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object w:dxaOrig="1501" w:dyaOrig="940">
          <v:shape id="_x0000_i1052" type="#_x0000_t75" style="width:74.75pt;height:48.2pt" o:ole="">
            <v:imagedata r:id="rId78" o:title=""/>
          </v:shape>
          <o:OLEObject Type="Embed" ProgID="Word.Document.8" ShapeID="_x0000_i1052" DrawAspect="Icon" ObjectID="_1474787054" r:id="rId79">
            <o:FieldCodes>\s</o:FieldCodes>
          </o:OLEObject>
        </w:object>
      </w:r>
      <w:r>
        <w:rPr>
          <w:rFonts w:ascii="Calibri" w:hAnsi="Calibri"/>
          <w:sz w:val="22"/>
          <w:szCs w:val="22"/>
        </w:rPr>
        <w:object w:dxaOrig="1501" w:dyaOrig="940">
          <v:shape id="_x0000_i1053" type="#_x0000_t75" style="width:74.75pt;height:48.2pt" o:ole="">
            <v:imagedata r:id="rId80" o:title=""/>
          </v:shape>
          <o:OLEObject Type="Embed" ProgID="Word.Document.8" ShapeID="_x0000_i1053" DrawAspect="Icon" ObjectID="_1474787055" r:id="rId81">
            <o:FieldCodes>\s</o:FieldCodes>
          </o:OLEObject>
        </w:object>
      </w:r>
    </w:p>
    <w:p>
      <w:pPr>
        <w:tabs>
          <w:tab w:val="left" w:pos="1260"/>
        </w:tabs>
        <w:ind w:left="720"/>
        <w:rPr>
          <w:rFonts w:ascii="Calibri" w:hAnsi="Calibri"/>
          <w:iCs/>
          <w:sz w:val="22"/>
          <w:szCs w:val="22"/>
        </w:rPr>
      </w:pPr>
    </w:p>
    <w:p>
      <w:pPr>
        <w:numPr>
          <w:ilvl w:val="0"/>
          <w:numId w:val="31"/>
        </w:numPr>
        <w:tabs>
          <w:tab w:val="left" w:pos="1260"/>
        </w:tabs>
        <w:rPr>
          <w:rFonts w:ascii="Calibri" w:hAnsi="Calibri"/>
          <w:iCs/>
          <w:sz w:val="22"/>
          <w:szCs w:val="22"/>
        </w:rPr>
      </w:pPr>
      <w:r>
        <w:rPr>
          <w:rFonts w:ascii="Calibri" w:hAnsi="Calibri"/>
          <w:i/>
          <w:iCs/>
          <w:sz w:val="22"/>
          <w:szCs w:val="22"/>
        </w:rPr>
        <w:t>Shell Oil Company et el v. United States</w:t>
      </w:r>
      <w:r>
        <w:rPr>
          <w:rFonts w:ascii="Calibri" w:hAnsi="Calibri"/>
          <w:iCs/>
          <w:sz w:val="22"/>
          <w:szCs w:val="22"/>
        </w:rPr>
        <w:t>, 751 F.3d 1282 (Fed. Cir 2014)- Johnson</w:t>
      </w:r>
    </w:p>
    <w:p>
      <w:pPr>
        <w:tabs>
          <w:tab w:val="left" w:pos="1260"/>
        </w:tabs>
        <w:ind w:left="72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object w:dxaOrig="1501" w:dyaOrig="940">
          <v:shape id="_x0000_i1054" type="#_x0000_t75" style="width:74.75pt;height:48.2pt" o:ole="">
            <v:imagedata r:id="rId82" o:title=""/>
          </v:shape>
          <o:OLEObject Type="Embed" ProgID="Word.Document.8" ShapeID="_x0000_i1054" DrawAspect="Icon" ObjectID="_1474787056" r:id="rId83">
            <o:FieldCodes>\s</o:FieldCodes>
          </o:OLEObject>
        </w:object>
      </w:r>
      <w:r>
        <w:rPr>
          <w:rFonts w:ascii="Calibri" w:hAnsi="Calibri"/>
          <w:sz w:val="22"/>
          <w:szCs w:val="22"/>
        </w:rPr>
        <w:object w:dxaOrig="1501" w:dyaOrig="940">
          <v:shape id="_x0000_i1055" type="#_x0000_t75" style="width:74.75pt;height:48.2pt" o:ole="">
            <v:imagedata r:id="rId84" o:title=""/>
          </v:shape>
          <o:OLEObject Type="Embed" ProgID="Word.Document.12" ShapeID="_x0000_i1055" DrawAspect="Icon" ObjectID="_1474787057" r:id="rId85">
            <o:FieldCodes>\s</o:FieldCodes>
          </o:OLEObject>
        </w:object>
      </w:r>
    </w:p>
    <w:p>
      <w:pPr>
        <w:tabs>
          <w:tab w:val="left" w:pos="1260"/>
        </w:tabs>
        <w:ind w:left="720"/>
        <w:rPr>
          <w:rFonts w:ascii="Calibri" w:hAnsi="Calibri"/>
          <w:iCs/>
          <w:sz w:val="22"/>
          <w:szCs w:val="22"/>
        </w:rPr>
      </w:pPr>
    </w:p>
    <w:p>
      <w:pPr>
        <w:numPr>
          <w:ilvl w:val="0"/>
          <w:numId w:val="31"/>
        </w:numPr>
        <w:tabs>
          <w:tab w:val="left" w:pos="1260"/>
        </w:tabs>
        <w:rPr>
          <w:rFonts w:ascii="Calibri" w:hAnsi="Calibri"/>
          <w:color w:val="1F497D"/>
          <w:sz w:val="22"/>
          <w:szCs w:val="22"/>
        </w:rPr>
      </w:pPr>
      <w:r>
        <w:rPr>
          <w:rFonts w:ascii="Calibri" w:hAnsi="Calibri"/>
          <w:i/>
          <w:iCs/>
          <w:sz w:val="22"/>
          <w:szCs w:val="22"/>
        </w:rPr>
        <w:t>SUFI Network Services, Inc. v. United States</w:t>
      </w:r>
      <w:r>
        <w:rPr>
          <w:rFonts w:ascii="Calibri" w:hAnsi="Calibri"/>
          <w:sz w:val="22"/>
          <w:szCs w:val="22"/>
        </w:rPr>
        <w:t>, 755 F.3d 1305 (Fed. Cir. 2014) - Snee </w:t>
      </w:r>
    </w:p>
    <w:p>
      <w:pPr>
        <w:tabs>
          <w:tab w:val="left" w:pos="1260"/>
        </w:tabs>
        <w:ind w:left="1260" w:hanging="540"/>
        <w:rPr>
          <w:rFonts w:ascii="Calibri" w:hAnsi="Calibri"/>
          <w:color w:val="1F497D"/>
          <w:sz w:val="22"/>
          <w:szCs w:val="22"/>
        </w:rPr>
      </w:pPr>
      <w:r>
        <w:rPr>
          <w:rFonts w:ascii="Calibri" w:hAnsi="Calibri"/>
          <w:sz w:val="22"/>
          <w:szCs w:val="22"/>
        </w:rPr>
        <w:object w:dxaOrig="1501" w:dyaOrig="940">
          <v:shape id="_x0000_i1056" type="#_x0000_t75" style="width:74.75pt;height:48.2pt" o:ole="">
            <v:imagedata r:id="rId86" o:title=""/>
          </v:shape>
          <o:OLEObject Type="Embed" ProgID="Word.Document.8" ShapeID="_x0000_i1056" DrawAspect="Icon" ObjectID="_1474787058" r:id="rId87">
            <o:FieldCodes>\s</o:FieldCodes>
          </o:OLEObject>
        </w:object>
      </w:r>
      <w:r>
        <w:object w:dxaOrig="1521" w:dyaOrig="953">
          <v:shape id="_x0000_i1057" type="#_x0000_t75" style="width:75.3pt;height:48.2pt" o:ole="">
            <v:imagedata r:id="rId88" o:title=""/>
          </v:shape>
          <o:OLEObject Type="Embed" ProgID="AcroExch.Document.11" ShapeID="_x0000_i1057" DrawAspect="Icon" ObjectID="_1474787059" r:id="rId89"/>
        </w:object>
      </w:r>
    </w:p>
    <w:p>
      <w:pPr>
        <w:tabs>
          <w:tab w:val="left" w:pos="1260"/>
        </w:tabs>
        <w:ind w:left="1260" w:hanging="1260"/>
        <w:rPr>
          <w:rFonts w:ascii="Calibri" w:hAnsi="Calibri"/>
          <w:color w:val="1F497D"/>
          <w:sz w:val="22"/>
          <w:szCs w:val="22"/>
        </w:rPr>
      </w:pPr>
    </w:p>
    <w:p>
      <w:pPr>
        <w:tabs>
          <w:tab w:val="left" w:pos="1260"/>
        </w:tabs>
        <w:ind w:left="1260" w:hanging="1260"/>
        <w:rPr>
          <w:rFonts w:ascii="Calibri" w:hAnsi="Calibri"/>
          <w:sz w:val="22"/>
          <w:szCs w:val="22"/>
        </w:rPr>
      </w:pPr>
    </w:p>
    <w:p>
      <w:pPr>
        <w:spacing w:after="200" w:line="276" w:lineRule="auto"/>
        <w:rPr>
          <w:rFonts w:ascii="Calibri" w:hAnsi="Calibri"/>
          <w:b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br w:type="page"/>
      </w:r>
    </w:p>
    <w:p>
      <w:pPr>
        <w:pStyle w:val="NormalWeb"/>
        <w:tabs>
          <w:tab w:val="left" w:pos="1260"/>
        </w:tabs>
        <w:ind w:left="1260" w:hanging="1260"/>
        <w:rPr>
          <w:rFonts w:ascii="Calibri" w:hAnsi="Calibri"/>
          <w:b/>
          <w:color w:val="000000"/>
          <w:sz w:val="32"/>
          <w:szCs w:val="32"/>
        </w:rPr>
      </w:pPr>
      <w:r>
        <w:rPr>
          <w:rFonts w:ascii="Calibri" w:hAnsi="Calibri"/>
          <w:b/>
          <w:color w:val="000000"/>
          <w:sz w:val="32"/>
          <w:szCs w:val="32"/>
        </w:rPr>
        <w:lastRenderedPageBreak/>
        <w:t>Tab 5</w:t>
      </w:r>
    </w:p>
    <w:p>
      <w:pPr>
        <w:pStyle w:val="NormalWeb"/>
        <w:tabs>
          <w:tab w:val="left" w:pos="1260"/>
        </w:tabs>
        <w:ind w:left="1260" w:hanging="1260"/>
        <w:rPr>
          <w:rFonts w:ascii="Calibri" w:hAnsi="Calibri"/>
          <w:b/>
          <w:color w:val="000000"/>
          <w:sz w:val="32"/>
          <w:szCs w:val="32"/>
        </w:rPr>
      </w:pPr>
    </w:p>
    <w:p>
      <w:pPr>
        <w:pStyle w:val="NormalWeb"/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32"/>
          <w:szCs w:val="32"/>
        </w:rPr>
      </w:pPr>
      <w:r>
        <w:rPr>
          <w:rFonts w:ascii="Calibri" w:hAnsi="Calibri"/>
          <w:b/>
          <w:color w:val="000000"/>
          <w:sz w:val="32"/>
          <w:szCs w:val="32"/>
        </w:rPr>
        <w:t>Panel No. 2 (10:30 -</w:t>
      </w:r>
      <w:r>
        <w:rPr>
          <w:rStyle w:val="Strong"/>
          <w:rFonts w:ascii="Calibri" w:hAnsi="Calibri"/>
          <w:bCs w:val="0"/>
          <w:color w:val="000000"/>
          <w:sz w:val="32"/>
          <w:szCs w:val="32"/>
        </w:rPr>
        <w:t xml:space="preserve">11:30) </w:t>
      </w:r>
      <w:r>
        <w:rPr>
          <w:rStyle w:val="Strong"/>
          <w:rFonts w:ascii="Calibri" w:hAnsi="Calibri"/>
          <w:bCs w:val="0"/>
          <w:color w:val="000000"/>
          <w:sz w:val="32"/>
          <w:szCs w:val="32"/>
        </w:rPr>
        <w:tab/>
      </w:r>
    </w:p>
    <w:p>
      <w:pPr>
        <w:pStyle w:val="NormalWeb"/>
        <w:rPr>
          <w:rStyle w:val="Strong"/>
          <w:rFonts w:ascii="Calibri" w:hAnsi="Calibri"/>
          <w:bCs w:val="0"/>
          <w:color w:val="000000"/>
          <w:sz w:val="32"/>
          <w:szCs w:val="32"/>
        </w:rPr>
      </w:pPr>
      <w:r>
        <w:rPr>
          <w:rStyle w:val="Strong"/>
          <w:rFonts w:ascii="Calibri" w:hAnsi="Calibri"/>
          <w:bCs w:val="0"/>
          <w:color w:val="000000"/>
          <w:sz w:val="32"/>
          <w:szCs w:val="32"/>
        </w:rPr>
        <w:t xml:space="preserve">REGULATORY UPDATE: WHAT YOU NEED TO KNOW ABOUT THE EVER-CHANGING REGULATORY LANDSCAPE </w:t>
      </w:r>
    </w:p>
    <w:p>
      <w:pPr>
        <w:pStyle w:val="NormalWeb"/>
        <w:rPr>
          <w:rFonts w:ascii="Calibri" w:hAnsi="Calibri"/>
          <w:sz w:val="22"/>
          <w:szCs w:val="22"/>
        </w:rPr>
      </w:pPr>
      <w:r>
        <w:rPr>
          <w:rStyle w:val="Strong"/>
          <w:rFonts w:ascii="Calibri" w:hAnsi="Calibri"/>
          <w:bCs w:val="0"/>
          <w:color w:val="000000"/>
          <w:sz w:val="22"/>
          <w:szCs w:val="22"/>
        </w:rPr>
        <w:br/>
        <w:t>Panelists: Kara Sacilotto, Wiley Rein LLP; Craig Smith</w:t>
      </w:r>
      <w:r>
        <w:rPr>
          <w:rStyle w:val="Strong"/>
          <w:rFonts w:ascii="Calibri" w:hAnsi="Calibri"/>
          <w:bCs w:val="0"/>
          <w:i/>
          <w:color w:val="000000"/>
          <w:sz w:val="22"/>
          <w:szCs w:val="22"/>
        </w:rPr>
        <w:t xml:space="preserve">, </w:t>
      </w:r>
      <w:r>
        <w:rPr>
          <w:rStyle w:val="Strong"/>
          <w:rFonts w:ascii="Calibri" w:hAnsi="Calibri"/>
          <w:bCs w:val="0"/>
          <w:color w:val="000000"/>
          <w:sz w:val="22"/>
          <w:szCs w:val="22"/>
        </w:rPr>
        <w:t>Wiley Rein LLP</w:t>
      </w:r>
    </w:p>
    <w:p>
      <w:pPr>
        <w:pStyle w:val="PlainText"/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22"/>
          <w:szCs w:val="22"/>
        </w:rPr>
      </w:pPr>
    </w:p>
    <w:p>
      <w:pPr>
        <w:pStyle w:val="PlainText"/>
        <w:tabs>
          <w:tab w:val="left" w:pos="1260"/>
        </w:tabs>
        <w:rPr>
          <w:rStyle w:val="Strong"/>
          <w:rFonts w:ascii="Calibri" w:hAnsi="Calibri"/>
          <w:bCs w:val="0"/>
          <w:color w:val="000000"/>
          <w:sz w:val="22"/>
          <w:szCs w:val="22"/>
        </w:rPr>
      </w:pPr>
      <w:r>
        <w:rPr>
          <w:rFonts w:ascii="Calibri" w:hAnsi="Calibri"/>
          <w:sz w:val="22"/>
          <w:szCs w:val="22"/>
        </w:rPr>
        <w:t>The panel will discuss the recent regulatory updates of which government contracts practitioners should be aware.</w:t>
      </w:r>
    </w:p>
    <w:p>
      <w:pPr>
        <w:pStyle w:val="PlainText"/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22"/>
          <w:szCs w:val="22"/>
        </w:rPr>
      </w:pPr>
    </w:p>
    <w:p>
      <w:pPr>
        <w:spacing w:after="200" w:line="276" w:lineRule="auto"/>
        <w:rPr>
          <w:rStyle w:val="Strong"/>
          <w:rFonts w:ascii="Calibri" w:hAnsi="Calibri" w:cs="Consolas"/>
          <w:bCs w:val="0"/>
          <w:color w:val="000000"/>
          <w:sz w:val="22"/>
          <w:szCs w:val="22"/>
        </w:rPr>
      </w:pPr>
      <w:r>
        <w:object w:dxaOrig="1501" w:dyaOrig="940">
          <v:shape id="_x0000_i1058" type="#_x0000_t75" style="width:74.75pt;height:47.1pt" o:ole="">
            <v:imagedata r:id="rId90" o:title=""/>
          </v:shape>
          <o:OLEObject Type="Embed" ProgID="PowerPoint.Show.8" ShapeID="_x0000_i1058" DrawAspect="Icon" ObjectID="_1474787060" r:id="rId91"/>
        </w:object>
      </w:r>
      <w:r>
        <w:rPr>
          <w:rStyle w:val="Strong"/>
          <w:rFonts w:ascii="Calibri" w:hAnsi="Calibri"/>
          <w:bCs w:val="0"/>
          <w:color w:val="000000"/>
          <w:sz w:val="22"/>
          <w:szCs w:val="22"/>
        </w:rPr>
        <w:br w:type="page"/>
      </w:r>
    </w:p>
    <w:p>
      <w:pPr>
        <w:pStyle w:val="PlainText"/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32"/>
          <w:szCs w:val="32"/>
        </w:rPr>
      </w:pPr>
      <w:r>
        <w:rPr>
          <w:rStyle w:val="Strong"/>
          <w:rFonts w:ascii="Calibri" w:hAnsi="Calibri"/>
          <w:bCs w:val="0"/>
          <w:color w:val="000000"/>
          <w:sz w:val="32"/>
          <w:szCs w:val="32"/>
        </w:rPr>
        <w:lastRenderedPageBreak/>
        <w:t>Tab 6</w:t>
      </w:r>
    </w:p>
    <w:p>
      <w:pPr>
        <w:pStyle w:val="PlainText"/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32"/>
          <w:szCs w:val="32"/>
        </w:rPr>
      </w:pPr>
    </w:p>
    <w:p>
      <w:pPr>
        <w:pStyle w:val="PlainText"/>
        <w:tabs>
          <w:tab w:val="left" w:pos="1260"/>
        </w:tabs>
        <w:ind w:left="1260" w:hanging="1260"/>
        <w:rPr>
          <w:rFonts w:ascii="Calibri" w:hAnsi="Calibri"/>
          <w:sz w:val="32"/>
          <w:szCs w:val="32"/>
        </w:rPr>
      </w:pPr>
      <w:r>
        <w:rPr>
          <w:rStyle w:val="Strong"/>
          <w:rFonts w:ascii="Calibri" w:hAnsi="Calibri"/>
          <w:bCs w:val="0"/>
          <w:color w:val="000000"/>
          <w:sz w:val="32"/>
          <w:szCs w:val="32"/>
        </w:rPr>
        <w:t>Panel No. 3 (11:30 - 12:30)</w:t>
      </w:r>
      <w:r>
        <w:rPr>
          <w:rStyle w:val="Strong"/>
          <w:rFonts w:ascii="Calibri" w:hAnsi="Calibri"/>
          <w:bCs w:val="0"/>
          <w:color w:val="000000"/>
          <w:sz w:val="32"/>
          <w:szCs w:val="32"/>
        </w:rPr>
        <w:tab/>
      </w:r>
    </w:p>
    <w:p>
      <w:pPr>
        <w:tabs>
          <w:tab w:val="left" w:pos="1260"/>
        </w:tabs>
        <w:ind w:left="1260" w:hanging="1260"/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b/>
          <w:sz w:val="32"/>
          <w:szCs w:val="32"/>
        </w:rPr>
        <w:t>THE CIVIL FALSE CLAIMS ACT</w:t>
      </w:r>
    </w:p>
    <w:p>
      <w:pPr>
        <w:tabs>
          <w:tab w:val="left" w:pos="1260"/>
        </w:tabs>
        <w:ind w:left="1260" w:hanging="1260"/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ab/>
      </w:r>
    </w:p>
    <w:p>
      <w:pPr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Moderator: Richard O. Duvall</w:t>
      </w:r>
      <w:r>
        <w:rPr>
          <w:rFonts w:ascii="Calibri" w:hAnsi="Calibri"/>
          <w:sz w:val="22"/>
          <w:szCs w:val="22"/>
        </w:rPr>
        <w:t>, Holland &amp; Knight LLP</w:t>
      </w:r>
    </w:p>
    <w:p>
      <w:pPr>
        <w:rPr>
          <w:rFonts w:ascii="Calibri" w:hAnsi="Calibri"/>
          <w:i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Panelists: Colette Matzzie</w:t>
      </w:r>
      <w:r>
        <w:rPr>
          <w:rFonts w:ascii="Calibri" w:hAnsi="Calibri"/>
          <w:sz w:val="22"/>
          <w:szCs w:val="22"/>
        </w:rPr>
        <w:t xml:space="preserve">, Phillips &amp; Cohen; </w:t>
      </w:r>
      <w:r>
        <w:rPr>
          <w:rFonts w:ascii="Calibri" w:hAnsi="Calibri"/>
          <w:b/>
          <w:sz w:val="22"/>
          <w:szCs w:val="22"/>
        </w:rPr>
        <w:t>Brian Miller</w:t>
      </w:r>
      <w:r>
        <w:rPr>
          <w:rFonts w:ascii="Calibri" w:hAnsi="Calibri"/>
          <w:sz w:val="22"/>
          <w:szCs w:val="22"/>
        </w:rPr>
        <w:t>, Navigant;</w:t>
      </w:r>
      <w:r>
        <w:rPr>
          <w:rFonts w:ascii="Calibri" w:hAnsi="Calibri"/>
          <w:i/>
          <w:sz w:val="22"/>
          <w:szCs w:val="22"/>
        </w:rPr>
        <w:t xml:space="preserve"> </w:t>
      </w:r>
      <w:r>
        <w:rPr>
          <w:rFonts w:ascii="Calibri" w:hAnsi="Calibri"/>
          <w:b/>
          <w:sz w:val="22"/>
          <w:szCs w:val="22"/>
        </w:rPr>
        <w:t>Jennifer Short</w:t>
      </w:r>
      <w:r>
        <w:rPr>
          <w:rFonts w:ascii="Calibri" w:hAnsi="Calibri"/>
          <w:sz w:val="22"/>
          <w:szCs w:val="22"/>
        </w:rPr>
        <w:t>, U.S. Attorney’s Office for the District of Columbia</w:t>
      </w:r>
    </w:p>
    <w:p>
      <w:pPr>
        <w:rPr>
          <w:rFonts w:ascii="Calibri" w:hAnsi="Calibri"/>
          <w:i/>
          <w:sz w:val="22"/>
          <w:szCs w:val="22"/>
        </w:rPr>
      </w:pPr>
    </w:p>
    <w:p>
      <w:pPr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This panel will address investigations and settlement in cases where the alleged misconduct is both a breach of contract and a violation of the civil False Claims Act.</w:t>
      </w:r>
    </w:p>
    <w:p>
      <w:pPr>
        <w:pStyle w:val="NormalWeb"/>
        <w:tabs>
          <w:tab w:val="left" w:pos="1080"/>
        </w:tabs>
        <w:rPr>
          <w:rFonts w:ascii="Calibri" w:hAnsi="Calibri"/>
          <w:bCs/>
          <w:color w:val="000000"/>
          <w:sz w:val="22"/>
          <w:szCs w:val="22"/>
        </w:rPr>
      </w:pPr>
    </w:p>
    <w:p>
      <w:pPr>
        <w:spacing w:after="200" w:line="276" w:lineRule="auto"/>
      </w:pPr>
      <w:r>
        <w:object w:dxaOrig="1501" w:dyaOrig="940">
          <v:shape id="_x0000_i1059" type="#_x0000_t75" style="width:74.75pt;height:47.1pt" o:ole="">
            <v:imagedata r:id="rId92" o:title=""/>
          </v:shape>
          <o:OLEObject Type="Embed" ProgID="Word.Document.12" ShapeID="_x0000_i1059" DrawAspect="Icon" ObjectID="_1474787061" r:id="rId93">
            <o:FieldCodes>\s</o:FieldCodes>
          </o:OLEObject>
        </w:object>
      </w:r>
    </w:p>
    <w:p>
      <w:pPr>
        <w:spacing w:after="200" w:line="276" w:lineRule="auto"/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sz w:val="22"/>
          <w:szCs w:val="22"/>
        </w:rPr>
        <w:object w:dxaOrig="1501" w:dyaOrig="940">
          <v:shape id="_x0000_i1060" type="#_x0000_t75" style="width:74.75pt;height:48.2pt" o:ole="">
            <v:imagedata r:id="rId94" o:title=""/>
          </v:shape>
          <o:OLEObject Type="Embed" ProgID="AcroExch.Document.11" ShapeID="_x0000_i1060" DrawAspect="Icon" ObjectID="_1474787062" r:id="rId95"/>
        </w:object>
      </w:r>
      <w:r>
        <w:rPr>
          <w:rFonts w:ascii="Calibri" w:hAnsi="Calibri"/>
          <w:b/>
          <w:sz w:val="22"/>
          <w:szCs w:val="22"/>
        </w:rPr>
        <w:t xml:space="preserve"> </w:t>
      </w:r>
    </w:p>
    <w:p>
      <w:pPr>
        <w:spacing w:after="200" w:line="276" w:lineRule="auto"/>
      </w:pPr>
      <w:r>
        <w:object w:dxaOrig="1521" w:dyaOrig="953">
          <v:shape id="_x0000_i1061" type="#_x0000_t75" style="width:75.3pt;height:48.2pt" o:ole="">
            <v:imagedata r:id="rId96" o:title=""/>
          </v:shape>
          <o:OLEObject Type="Embed" ProgID="AcroExch.Document.11" ShapeID="_x0000_i1061" DrawAspect="Icon" ObjectID="_1474787063" r:id="rId97"/>
        </w:object>
      </w:r>
      <w:r>
        <w:object w:dxaOrig="1521" w:dyaOrig="953">
          <v:shape id="_x0000_i1062" type="#_x0000_t75" style="width:75.3pt;height:48.2pt" o:ole="">
            <v:imagedata r:id="rId98" o:title=""/>
          </v:shape>
          <o:OLEObject Type="Embed" ProgID="AcroExch.Document.11" ShapeID="_x0000_i1062" DrawAspect="Icon" ObjectID="_1474787064" r:id="rId99"/>
        </w:object>
      </w:r>
    </w:p>
    <w:p>
      <w:pPr>
        <w:spacing w:after="200" w:line="276" w:lineRule="auto"/>
      </w:pPr>
      <w:r>
        <w:object w:dxaOrig="1521" w:dyaOrig="953">
          <v:shape id="_x0000_i1063" type="#_x0000_t75" style="width:75.3pt;height:48.2pt" o:ole="">
            <v:imagedata r:id="rId100" o:title=""/>
          </v:shape>
          <o:OLEObject Type="Embed" ProgID="AcroExch.Document.11" ShapeID="_x0000_i1063" DrawAspect="Icon" ObjectID="_1474787065" r:id="rId101"/>
        </w:object>
      </w:r>
      <w:r>
        <w:object w:dxaOrig="1521" w:dyaOrig="953">
          <v:shape id="_x0000_i1064" type="#_x0000_t75" style="width:75.3pt;height:48.2pt" o:ole="">
            <v:imagedata r:id="rId102" o:title=""/>
          </v:shape>
          <o:OLEObject Type="Embed" ProgID="AcroExch.Document.11" ShapeID="_x0000_i1064" DrawAspect="Icon" ObjectID="_1474787066" r:id="rId103"/>
        </w:object>
      </w:r>
    </w:p>
    <w:p>
      <w:pPr>
        <w:spacing w:after="200" w:line="276" w:lineRule="auto"/>
        <w:rPr>
          <w:rFonts w:ascii="Calibri" w:hAnsi="Calibri"/>
          <w:b/>
          <w:sz w:val="22"/>
          <w:szCs w:val="22"/>
        </w:rPr>
      </w:pPr>
    </w:p>
    <w:p>
      <w:pPr>
        <w:spacing w:after="200" w:line="276" w:lineRule="auto"/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br w:type="page"/>
      </w:r>
    </w:p>
    <w:p>
      <w:pPr>
        <w:pStyle w:val="PlainText"/>
        <w:tabs>
          <w:tab w:val="left" w:pos="1260"/>
        </w:tabs>
        <w:ind w:left="1260" w:hanging="1260"/>
        <w:rPr>
          <w:rStyle w:val="Strong"/>
          <w:rFonts w:ascii="Calibri" w:hAnsi="Calibri"/>
          <w:bCs w:val="0"/>
          <w:color w:val="000000"/>
          <w:sz w:val="32"/>
          <w:szCs w:val="32"/>
        </w:rPr>
      </w:pPr>
      <w:r>
        <w:rPr>
          <w:rStyle w:val="Strong"/>
          <w:rFonts w:ascii="Calibri" w:hAnsi="Calibri"/>
          <w:bCs w:val="0"/>
          <w:color w:val="000000"/>
          <w:sz w:val="32"/>
          <w:szCs w:val="32"/>
        </w:rPr>
        <w:lastRenderedPageBreak/>
        <w:t>Tab 7:</w:t>
      </w:r>
      <w:r>
        <w:rPr>
          <w:rStyle w:val="Strong"/>
          <w:rFonts w:ascii="Calibri" w:hAnsi="Calibri"/>
          <w:bCs w:val="0"/>
          <w:color w:val="000000"/>
          <w:sz w:val="32"/>
          <w:szCs w:val="32"/>
        </w:rPr>
        <w:tab/>
      </w:r>
    </w:p>
    <w:p>
      <w:pPr>
        <w:pStyle w:val="PlainText"/>
        <w:tabs>
          <w:tab w:val="left" w:pos="1260"/>
        </w:tabs>
        <w:ind w:left="3600" w:hanging="3600"/>
        <w:rPr>
          <w:rStyle w:val="Strong"/>
          <w:rFonts w:ascii="Calibri" w:hAnsi="Calibri"/>
          <w:bCs w:val="0"/>
          <w:color w:val="000000"/>
          <w:sz w:val="32"/>
          <w:szCs w:val="32"/>
        </w:rPr>
      </w:pPr>
      <w:r>
        <w:rPr>
          <w:rStyle w:val="Strong"/>
          <w:rFonts w:ascii="Calibri" w:hAnsi="Calibri"/>
          <w:bCs w:val="0"/>
          <w:caps/>
          <w:color w:val="000000"/>
          <w:sz w:val="32"/>
          <w:szCs w:val="32"/>
        </w:rPr>
        <w:t>Lunch Key Note Speaker</w:t>
      </w:r>
      <w:r>
        <w:rPr>
          <w:rStyle w:val="Strong"/>
          <w:rFonts w:ascii="Calibri" w:hAnsi="Calibri"/>
          <w:bCs w:val="0"/>
          <w:color w:val="000000"/>
          <w:sz w:val="32"/>
          <w:szCs w:val="32"/>
        </w:rPr>
        <w:t xml:space="preserve">: </w:t>
      </w:r>
      <w:r>
        <w:rPr>
          <w:rStyle w:val="Strong"/>
          <w:rFonts w:ascii="Calibri" w:hAnsi="Calibri"/>
          <w:bCs w:val="0"/>
          <w:color w:val="000000"/>
          <w:sz w:val="32"/>
          <w:szCs w:val="32"/>
        </w:rPr>
        <w:tab/>
        <w:t>The Honorable Anne Rung</w:t>
      </w:r>
    </w:p>
    <w:p>
      <w:pPr>
        <w:pStyle w:val="PlainText"/>
        <w:tabs>
          <w:tab w:val="left" w:pos="1260"/>
        </w:tabs>
        <w:ind w:left="4320" w:hanging="3600"/>
        <w:rPr>
          <w:rFonts w:ascii="Calibri" w:hAnsi="Calibri"/>
          <w:b/>
          <w:sz w:val="22"/>
          <w:szCs w:val="22"/>
        </w:rPr>
      </w:pPr>
      <w:r>
        <w:rPr>
          <w:rStyle w:val="Strong"/>
          <w:rFonts w:ascii="Calibri" w:hAnsi="Calibri"/>
          <w:bCs w:val="0"/>
          <w:color w:val="000000"/>
          <w:sz w:val="32"/>
          <w:szCs w:val="32"/>
        </w:rPr>
        <w:tab/>
      </w:r>
      <w:r>
        <w:rPr>
          <w:rStyle w:val="Strong"/>
          <w:rFonts w:ascii="Calibri" w:hAnsi="Calibri"/>
          <w:bCs w:val="0"/>
          <w:color w:val="000000"/>
          <w:sz w:val="32"/>
          <w:szCs w:val="32"/>
        </w:rPr>
        <w:tab/>
      </w:r>
      <w:r>
        <w:rPr>
          <w:rFonts w:ascii="Calibri" w:hAnsi="Calibri"/>
          <w:sz w:val="32"/>
          <w:szCs w:val="32"/>
        </w:rPr>
        <w:t>Administrator for Federal Procurement Policy</w:t>
      </w:r>
      <w:r>
        <w:rPr>
          <w:rFonts w:ascii="Calibri" w:hAnsi="Calibri"/>
          <w:b/>
          <w:sz w:val="22"/>
          <w:szCs w:val="22"/>
        </w:rPr>
        <w:br w:type="page"/>
      </w:r>
    </w:p>
    <w:p>
      <w:pPr>
        <w:pStyle w:val="NormalWeb"/>
        <w:tabs>
          <w:tab w:val="left" w:pos="1080"/>
        </w:tabs>
        <w:rPr>
          <w:rFonts w:ascii="Calibri" w:hAnsi="Calibri"/>
          <w:b/>
          <w:sz w:val="32"/>
          <w:szCs w:val="32"/>
        </w:rPr>
      </w:pPr>
      <w:r>
        <w:rPr>
          <w:rFonts w:ascii="Calibri" w:hAnsi="Calibri"/>
          <w:b/>
          <w:sz w:val="32"/>
          <w:szCs w:val="32"/>
        </w:rPr>
        <w:lastRenderedPageBreak/>
        <w:t>Tab 8</w:t>
      </w:r>
    </w:p>
    <w:p>
      <w:pPr>
        <w:pStyle w:val="NormalWeb"/>
        <w:tabs>
          <w:tab w:val="left" w:pos="1260"/>
        </w:tabs>
        <w:rPr>
          <w:rFonts w:ascii="Calibri" w:hAnsi="Calibri"/>
          <w:b/>
          <w:sz w:val="32"/>
          <w:szCs w:val="32"/>
        </w:rPr>
      </w:pPr>
    </w:p>
    <w:p>
      <w:pPr>
        <w:pStyle w:val="NormalWeb"/>
        <w:tabs>
          <w:tab w:val="left" w:pos="1260"/>
        </w:tabs>
        <w:rPr>
          <w:rFonts w:ascii="Calibri" w:hAnsi="Calibri"/>
          <w:b/>
          <w:sz w:val="32"/>
          <w:szCs w:val="32"/>
        </w:rPr>
      </w:pPr>
      <w:r>
        <w:rPr>
          <w:rFonts w:ascii="Calibri" w:hAnsi="Calibri"/>
          <w:b/>
          <w:sz w:val="32"/>
          <w:szCs w:val="32"/>
        </w:rPr>
        <w:t>Panel No. 4 (1:30 - 2:30)</w:t>
      </w:r>
    </w:p>
    <w:p>
      <w:pPr>
        <w:pStyle w:val="NormalWeb"/>
        <w:tabs>
          <w:tab w:val="left" w:pos="1260"/>
        </w:tabs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32"/>
          <w:szCs w:val="32"/>
        </w:rPr>
        <w:t>ETHICS IN GOVERNMENT CONTRACTS</w:t>
      </w:r>
    </w:p>
    <w:p>
      <w:pPr>
        <w:pStyle w:val="NormalWeb"/>
        <w:tabs>
          <w:tab w:val="left" w:pos="1260"/>
        </w:tabs>
        <w:rPr>
          <w:rFonts w:ascii="Calibri" w:hAnsi="Calibri"/>
          <w:sz w:val="22"/>
          <w:szCs w:val="22"/>
        </w:rPr>
      </w:pPr>
    </w:p>
    <w:p>
      <w:pPr>
        <w:pStyle w:val="NormalWeb"/>
        <w:tabs>
          <w:tab w:val="left" w:pos="1260"/>
        </w:tabs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Panelists: Ron Schechter</w:t>
      </w:r>
      <w:r>
        <w:rPr>
          <w:rFonts w:ascii="Calibri" w:hAnsi="Calibri"/>
          <w:sz w:val="22"/>
          <w:szCs w:val="22"/>
        </w:rPr>
        <w:t xml:space="preserve">, Arnold &amp; Porter LLP; </w:t>
      </w:r>
      <w:r>
        <w:rPr>
          <w:rFonts w:ascii="Calibri" w:hAnsi="Calibri"/>
          <w:b/>
          <w:sz w:val="22"/>
          <w:szCs w:val="22"/>
        </w:rPr>
        <w:t>David Weber</w:t>
      </w:r>
      <w:r>
        <w:rPr>
          <w:rFonts w:ascii="Calibri" w:hAnsi="Calibri"/>
          <w:sz w:val="22"/>
          <w:szCs w:val="22"/>
        </w:rPr>
        <w:t>, Arnold &amp; Porter LLP</w:t>
      </w:r>
    </w:p>
    <w:p>
      <w:pPr>
        <w:pStyle w:val="NormalWeb"/>
        <w:tabs>
          <w:tab w:val="left" w:pos="1260"/>
        </w:tabs>
        <w:rPr>
          <w:rFonts w:ascii="Calibri" w:hAnsi="Calibri"/>
          <w:b/>
          <w:sz w:val="22"/>
          <w:szCs w:val="22"/>
        </w:rPr>
      </w:pPr>
    </w:p>
    <w:p>
      <w:pPr>
        <w:spacing w:after="200" w:line="276" w:lineRule="auto"/>
      </w:pPr>
      <w:r>
        <w:object w:dxaOrig="1501" w:dyaOrig="940">
          <v:shape id="_x0000_i1065" type="#_x0000_t75" style="width:74.75pt;height:47.1pt" o:ole="">
            <v:imagedata r:id="rId104" o:title=""/>
          </v:shape>
          <o:OLEObject Type="Embed" ProgID="Word.Document.12" ShapeID="_x0000_i1065" DrawAspect="Icon" ObjectID="_1474787067" r:id="rId105">
            <o:FieldCodes>\s</o:FieldCodes>
          </o:OLEObject>
        </w:object>
      </w:r>
    </w:p>
    <w:p>
      <w:pPr>
        <w:spacing w:after="200" w:line="276" w:lineRule="auto"/>
      </w:pPr>
      <w:r>
        <w:object w:dxaOrig="1521" w:dyaOrig="953">
          <v:shape id="_x0000_i1066" type="#_x0000_t75" style="width:75.3pt;height:48.2pt" o:ole="">
            <v:imagedata r:id="rId106" o:title=""/>
          </v:shape>
          <o:OLEObject Type="Embed" ProgID="Word.Document.12" ShapeID="_x0000_i1066" DrawAspect="Icon" ObjectID="_1474787068" r:id="rId107">
            <o:FieldCodes>\s</o:FieldCodes>
          </o:OLEObject>
        </w:object>
      </w:r>
      <w:r>
        <w:object w:dxaOrig="1521" w:dyaOrig="953">
          <v:shape id="_x0000_i1067" type="#_x0000_t75" style="width:75.3pt;height:48.2pt" o:ole="">
            <v:imagedata r:id="rId108" o:title=""/>
          </v:shape>
          <o:OLEObject Type="Embed" ProgID="AcroExch.Document.11" ShapeID="_x0000_i1067" DrawAspect="Icon" ObjectID="_1474787069" r:id="rId109"/>
        </w:object>
      </w:r>
      <w:r>
        <w:object w:dxaOrig="1521" w:dyaOrig="953">
          <v:shape id="_x0000_i1068" type="#_x0000_t75" style="width:75.3pt;height:48.2pt" o:ole="">
            <v:imagedata r:id="rId110" o:title=""/>
          </v:shape>
          <o:OLEObject Type="Embed" ProgID="AcroExch.Document.11" ShapeID="_x0000_i1068" DrawAspect="Icon" ObjectID="_1474787070" r:id="rId111"/>
        </w:object>
      </w:r>
      <w:r>
        <w:object w:dxaOrig="1521" w:dyaOrig="953">
          <v:shape id="_x0000_i1069" type="#_x0000_t75" style="width:75.3pt;height:48.2pt" o:ole="">
            <v:imagedata r:id="rId112" o:title=""/>
          </v:shape>
          <o:OLEObject Type="Embed" ProgID="AcroExch.Document.11" ShapeID="_x0000_i1069" DrawAspect="Icon" ObjectID="_1474787071" r:id="rId113"/>
        </w:object>
      </w:r>
      <w:r>
        <w:object w:dxaOrig="1521" w:dyaOrig="953">
          <v:shape id="_x0000_i1070" type="#_x0000_t75" style="width:75.3pt;height:48.2pt" o:ole="">
            <v:imagedata r:id="rId114" o:title=""/>
          </v:shape>
          <o:OLEObject Type="Embed" ProgID="AcroExch.Document.11" ShapeID="_x0000_i1070" DrawAspect="Icon" ObjectID="_1474787072" r:id="rId115"/>
        </w:object>
      </w:r>
      <w:r>
        <w:object w:dxaOrig="1521" w:dyaOrig="953">
          <v:shape id="_x0000_i1071" type="#_x0000_t75" style="width:75.3pt;height:48.2pt" o:ole="">
            <v:imagedata r:id="rId116" o:title=""/>
          </v:shape>
          <o:OLEObject Type="Embed" ProgID="AcroExch.Document.11" ShapeID="_x0000_i1071" DrawAspect="Icon" ObjectID="_1474787073" r:id="rId117"/>
        </w:object>
      </w:r>
    </w:p>
    <w:p>
      <w:pPr>
        <w:spacing w:after="200" w:line="276" w:lineRule="auto"/>
        <w:rPr>
          <w:rFonts w:ascii="Calibri" w:hAnsi="Calibri"/>
          <w:b/>
          <w:i/>
          <w:color w:val="C00000"/>
          <w:sz w:val="22"/>
          <w:szCs w:val="22"/>
        </w:rPr>
      </w:pPr>
      <w:r>
        <w:object w:dxaOrig="1521" w:dyaOrig="953">
          <v:shape id="_x0000_i1072" type="#_x0000_t75" style="width:75.3pt;height:48.2pt" o:ole="">
            <v:imagedata r:id="rId118" o:title=""/>
          </v:shape>
          <o:OLEObject Type="Embed" ProgID="AcroExch.Document.11" ShapeID="_x0000_i1072" DrawAspect="Icon" ObjectID="_1474787074" r:id="rId119"/>
        </w:object>
      </w:r>
      <w:r>
        <w:object w:dxaOrig="1521" w:dyaOrig="953">
          <v:shape id="_x0000_i1073" type="#_x0000_t75" style="width:75.3pt;height:48.2pt" o:ole="">
            <v:imagedata r:id="rId120" o:title=""/>
          </v:shape>
          <o:OLEObject Type="Embed" ProgID="AcroExch.Document.11" ShapeID="_x0000_i1073" DrawAspect="Icon" ObjectID="_1474787075" r:id="rId121"/>
        </w:object>
      </w:r>
      <w:r>
        <w:object w:dxaOrig="1521" w:dyaOrig="953">
          <v:shape id="_x0000_i1074" type="#_x0000_t75" style="width:75.3pt;height:48.2pt" o:ole="">
            <v:imagedata r:id="rId122" o:title=""/>
          </v:shape>
          <o:OLEObject Type="Embed" ProgID="AcroExch.Document.11" ShapeID="_x0000_i1074" DrawAspect="Icon" ObjectID="_1474787076" r:id="rId123"/>
        </w:object>
      </w:r>
      <w:r>
        <w:object w:dxaOrig="1521" w:dyaOrig="953">
          <v:shape id="_x0000_i1075" type="#_x0000_t75" style="width:75.3pt;height:48.2pt" o:ole="">
            <v:imagedata r:id="rId124" o:title=""/>
          </v:shape>
          <o:OLEObject Type="Embed" ProgID="AcroExch.Document.11" ShapeID="_x0000_i1075" DrawAspect="Icon" ObjectID="_1474787077" r:id="rId125"/>
        </w:object>
      </w:r>
      <w:r>
        <w:object w:dxaOrig="1521" w:dyaOrig="953">
          <v:shape id="_x0000_i1076" type="#_x0000_t75" style="width:75.3pt;height:48.2pt" o:ole="">
            <v:imagedata r:id="rId126" o:title=""/>
          </v:shape>
          <o:OLEObject Type="Embed" ProgID="AcroExch.Document.11" ShapeID="_x0000_i1076" DrawAspect="Icon" ObjectID="_1474787078" r:id="rId127"/>
        </w:object>
      </w:r>
      <w:r>
        <w:object w:dxaOrig="1521" w:dyaOrig="953">
          <v:shape id="_x0000_i1077" type="#_x0000_t75" style="width:75.3pt;height:48.2pt" o:ole="">
            <v:imagedata r:id="rId128" o:title=""/>
          </v:shape>
          <o:OLEObject Type="Embed" ProgID="AcroExch.Document.11" ShapeID="_x0000_i1077" DrawAspect="Icon" ObjectID="_1474787079" r:id="rId129"/>
        </w:object>
      </w:r>
      <w:r>
        <w:object w:dxaOrig="1521" w:dyaOrig="953">
          <v:shape id="_x0000_i1078" type="#_x0000_t75" style="width:75.3pt;height:48.2pt" o:ole="">
            <v:imagedata r:id="rId130" o:title=""/>
          </v:shape>
          <o:OLEObject Type="Embed" ProgID="AcroExch.Document.11" ShapeID="_x0000_i1078" DrawAspect="Icon" ObjectID="_1474787080" r:id="rId131"/>
        </w:object>
      </w:r>
      <w:r>
        <w:object w:dxaOrig="1521" w:dyaOrig="953">
          <v:shape id="_x0000_i1079" type="#_x0000_t75" style="width:75.3pt;height:48.2pt" o:ole="">
            <v:imagedata r:id="rId132" o:title=""/>
          </v:shape>
          <o:OLEObject Type="Embed" ProgID="AcroExch.Document.11" ShapeID="_x0000_i1079" DrawAspect="Icon" ObjectID="_1474787081" r:id="rId133"/>
        </w:object>
      </w:r>
      <w:r>
        <w:object w:dxaOrig="1521" w:dyaOrig="953">
          <v:shape id="_x0000_i1080" type="#_x0000_t75" style="width:75.3pt;height:48.2pt" o:ole="">
            <v:imagedata r:id="rId134" o:title=""/>
          </v:shape>
          <o:OLEObject Type="Embed" ProgID="AcroExch.Document.11" ShapeID="_x0000_i1080" DrawAspect="Icon" ObjectID="_1474787082" r:id="rId135"/>
        </w:object>
      </w:r>
      <w:r>
        <w:rPr>
          <w:rFonts w:ascii="Calibri" w:hAnsi="Calibri"/>
          <w:b/>
          <w:i/>
          <w:color w:val="C00000"/>
          <w:sz w:val="22"/>
          <w:szCs w:val="22"/>
        </w:rPr>
        <w:br w:type="page"/>
      </w:r>
    </w:p>
    <w:p>
      <w:pPr>
        <w:pStyle w:val="NormalWeb"/>
        <w:tabs>
          <w:tab w:val="left" w:pos="1260"/>
        </w:tabs>
        <w:rPr>
          <w:rFonts w:ascii="Calibri" w:hAnsi="Calibri"/>
          <w:b/>
          <w:sz w:val="32"/>
          <w:szCs w:val="32"/>
        </w:rPr>
      </w:pPr>
      <w:r>
        <w:rPr>
          <w:rFonts w:ascii="Calibri" w:hAnsi="Calibri"/>
          <w:b/>
          <w:sz w:val="32"/>
          <w:szCs w:val="32"/>
        </w:rPr>
        <w:lastRenderedPageBreak/>
        <w:t>Tab 9</w:t>
      </w:r>
    </w:p>
    <w:p>
      <w:pPr>
        <w:pStyle w:val="NormalWeb"/>
        <w:tabs>
          <w:tab w:val="left" w:pos="1260"/>
        </w:tabs>
        <w:rPr>
          <w:rFonts w:ascii="Calibri" w:hAnsi="Calibri"/>
          <w:b/>
          <w:sz w:val="32"/>
          <w:szCs w:val="32"/>
        </w:rPr>
      </w:pPr>
    </w:p>
    <w:p>
      <w:pPr>
        <w:pStyle w:val="NormalWeb"/>
        <w:tabs>
          <w:tab w:val="left" w:pos="1260"/>
        </w:tabs>
        <w:rPr>
          <w:rFonts w:ascii="Calibri" w:hAnsi="Calibri"/>
          <w:b/>
          <w:sz w:val="32"/>
          <w:szCs w:val="32"/>
        </w:rPr>
      </w:pPr>
      <w:r>
        <w:rPr>
          <w:rFonts w:ascii="Calibri" w:hAnsi="Calibri"/>
          <w:b/>
          <w:sz w:val="32"/>
          <w:szCs w:val="32"/>
        </w:rPr>
        <w:t>Panel No. 5 (2:45 - 3:45)</w:t>
      </w:r>
      <w:r>
        <w:rPr>
          <w:rFonts w:ascii="Calibri" w:hAnsi="Calibri"/>
          <w:b/>
          <w:sz w:val="32"/>
          <w:szCs w:val="32"/>
        </w:rPr>
        <w:tab/>
      </w:r>
    </w:p>
    <w:p>
      <w:pPr>
        <w:pStyle w:val="NormalWeb"/>
        <w:tabs>
          <w:tab w:val="left" w:pos="1260"/>
        </w:tabs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b/>
          <w:sz w:val="32"/>
          <w:szCs w:val="32"/>
        </w:rPr>
        <w:t>KEY BCA DECISIONS: THE YEAR IN REVIEW</w:t>
      </w:r>
    </w:p>
    <w:p>
      <w:pPr>
        <w:pStyle w:val="NormalWeb"/>
        <w:tabs>
          <w:tab w:val="left" w:pos="1260"/>
        </w:tabs>
        <w:rPr>
          <w:rFonts w:ascii="Calibri" w:hAnsi="Calibri"/>
          <w:b/>
          <w:sz w:val="22"/>
          <w:szCs w:val="22"/>
        </w:rPr>
      </w:pPr>
    </w:p>
    <w:p>
      <w:pPr>
        <w:pStyle w:val="NormalWeb"/>
        <w:tabs>
          <w:tab w:val="left" w:pos="1260"/>
        </w:tabs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Panelists: Lucas Hanback</w:t>
      </w:r>
      <w:r>
        <w:rPr>
          <w:rFonts w:ascii="Calibri" w:hAnsi="Calibri"/>
          <w:sz w:val="22"/>
          <w:szCs w:val="22"/>
        </w:rPr>
        <w:t xml:space="preserve">, </w:t>
      </w:r>
      <w:r>
        <w:rPr>
          <w:rFonts w:ascii="Calibri" w:hAnsi="Calibri"/>
          <w:color w:val="000000"/>
          <w:sz w:val="22"/>
          <w:szCs w:val="22"/>
        </w:rPr>
        <w:t>Rogers Joseph O’Donnell, PC;</w:t>
      </w:r>
      <w:r>
        <w:rPr>
          <w:rFonts w:ascii="Calibri" w:hAnsi="Calibri"/>
          <w:sz w:val="22"/>
          <w:szCs w:val="22"/>
        </w:rPr>
        <w:t xml:space="preserve"> </w:t>
      </w:r>
      <w:r>
        <w:rPr>
          <w:rFonts w:ascii="Calibri" w:hAnsi="Calibri"/>
          <w:b/>
          <w:sz w:val="22"/>
          <w:szCs w:val="22"/>
        </w:rPr>
        <w:t>Heidi Osterhout</w:t>
      </w:r>
      <w:r>
        <w:rPr>
          <w:rFonts w:ascii="Calibri" w:hAnsi="Calibri"/>
          <w:sz w:val="22"/>
          <w:szCs w:val="22"/>
        </w:rPr>
        <w:t xml:space="preserve">, BCABA Case Digest Editor; </w:t>
      </w:r>
      <w:r>
        <w:rPr>
          <w:rFonts w:ascii="Calibri" w:hAnsi="Calibri"/>
          <w:b/>
          <w:sz w:val="22"/>
          <w:szCs w:val="22"/>
        </w:rPr>
        <w:t>Skye Mathieson</w:t>
      </w:r>
      <w:r>
        <w:rPr>
          <w:rFonts w:ascii="Calibri" w:hAnsi="Calibri"/>
          <w:sz w:val="22"/>
          <w:szCs w:val="22"/>
        </w:rPr>
        <w:t xml:space="preserve">, Crowell &amp; Moring LLP; </w:t>
      </w:r>
      <w:r>
        <w:rPr>
          <w:rFonts w:ascii="Calibri" w:hAnsi="Calibri"/>
          <w:b/>
          <w:sz w:val="22"/>
          <w:szCs w:val="22"/>
        </w:rPr>
        <w:t>Tara Ward</w:t>
      </w:r>
      <w:r>
        <w:rPr>
          <w:rFonts w:ascii="Calibri" w:hAnsi="Calibri"/>
          <w:sz w:val="22"/>
          <w:szCs w:val="22"/>
        </w:rPr>
        <w:t>, Wiley Rein LLP</w:t>
      </w:r>
    </w:p>
    <w:p>
      <w:pPr>
        <w:pStyle w:val="NormalWeb"/>
        <w:tabs>
          <w:tab w:val="left" w:pos="1260"/>
        </w:tabs>
        <w:rPr>
          <w:rFonts w:ascii="Calibri" w:hAnsi="Calibri"/>
          <w:b/>
          <w:sz w:val="22"/>
          <w:szCs w:val="22"/>
        </w:rPr>
      </w:pPr>
    </w:p>
    <w:p>
      <w:pPr>
        <w:spacing w:after="200" w:line="276" w:lineRule="auto"/>
        <w:rPr>
          <w:rFonts w:ascii="Calibri" w:hAnsi="Calibri"/>
          <w:bCs/>
          <w:sz w:val="22"/>
          <w:szCs w:val="22"/>
        </w:rPr>
      </w:pPr>
      <w:r>
        <w:rPr>
          <w:rFonts w:ascii="Calibri" w:hAnsi="Calibri"/>
          <w:bCs/>
          <w:sz w:val="22"/>
          <w:szCs w:val="22"/>
        </w:rPr>
        <w:t>The Panelists will discuss the following significant contract decisions from the various Boards of Contract Appeals in the past year:</w:t>
      </w:r>
    </w:p>
    <w:p>
      <w:pPr>
        <w:widowControl w:val="0"/>
        <w:numPr>
          <w:ilvl w:val="0"/>
          <w:numId w:val="32"/>
        </w:numPr>
        <w:autoSpaceDE w:val="0"/>
        <w:autoSpaceDN w:val="0"/>
        <w:adjustRightInd w:val="0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 xml:space="preserve">American General Trading &amp; Contracting, </w:t>
      </w:r>
      <w:r>
        <w:rPr>
          <w:rFonts w:ascii="Calibri" w:hAnsi="Calibri"/>
          <w:sz w:val="22"/>
          <w:szCs w:val="22"/>
        </w:rPr>
        <w:t>WLL ASBCA No. 56758</w:t>
      </w:r>
    </w:p>
    <w:p>
      <w:pPr>
        <w:widowControl w:val="0"/>
        <w:autoSpaceDE w:val="0"/>
        <w:autoSpaceDN w:val="0"/>
        <w:adjustRightInd w:val="0"/>
        <w:rPr>
          <w:rFonts w:ascii="Calibri" w:hAnsi="Calibri"/>
          <w:b/>
          <w:sz w:val="22"/>
          <w:szCs w:val="22"/>
        </w:rPr>
      </w:pPr>
    </w:p>
    <w:p>
      <w:pPr>
        <w:widowControl w:val="0"/>
        <w:numPr>
          <w:ilvl w:val="0"/>
          <w:numId w:val="32"/>
        </w:numPr>
        <w:autoSpaceDE w:val="0"/>
        <w:autoSpaceDN w:val="0"/>
        <w:adjustRightInd w:val="0"/>
        <w:rPr>
          <w:rFonts w:ascii="Calibri" w:hAnsi="Calibri"/>
          <w:color w:val="000000"/>
          <w:spacing w:val="-2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>Appeal of Marilyn Laney</w:t>
      </w:r>
      <w:r>
        <w:rPr>
          <w:rFonts w:ascii="Calibri" w:hAnsi="Calibri"/>
          <w:b/>
          <w:sz w:val="22"/>
          <w:szCs w:val="22"/>
        </w:rPr>
        <w:t xml:space="preserve">, </w:t>
      </w:r>
      <w:r>
        <w:rPr>
          <w:rFonts w:ascii="Calibri" w:hAnsi="Calibri"/>
          <w:color w:val="000000"/>
          <w:spacing w:val="-2"/>
          <w:sz w:val="22"/>
          <w:szCs w:val="22"/>
        </w:rPr>
        <w:t>PSBCA No. 6487</w:t>
      </w:r>
    </w:p>
    <w:p>
      <w:pPr>
        <w:widowControl w:val="0"/>
        <w:autoSpaceDE w:val="0"/>
        <w:autoSpaceDN w:val="0"/>
        <w:adjustRightInd w:val="0"/>
        <w:rPr>
          <w:rFonts w:ascii="Calibri" w:hAnsi="Calibri"/>
          <w:color w:val="000000"/>
          <w:spacing w:val="-2"/>
          <w:sz w:val="22"/>
          <w:szCs w:val="22"/>
        </w:rPr>
      </w:pPr>
    </w:p>
    <w:p>
      <w:pPr>
        <w:widowControl w:val="0"/>
        <w:numPr>
          <w:ilvl w:val="0"/>
          <w:numId w:val="32"/>
        </w:numPr>
        <w:autoSpaceDE w:val="0"/>
        <w:autoSpaceDN w:val="0"/>
        <w:adjustRightInd w:val="0"/>
        <w:rPr>
          <w:rFonts w:ascii="Calibri" w:hAnsi="Calibri"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 xml:space="preserve">Eyak Services, LLC (ESL), </w:t>
      </w:r>
      <w:r>
        <w:rPr>
          <w:rFonts w:ascii="Calibri" w:hAnsi="Calibri"/>
          <w:color w:val="000000"/>
          <w:spacing w:val="-2"/>
          <w:sz w:val="22"/>
          <w:szCs w:val="22"/>
        </w:rPr>
        <w:t xml:space="preserve"> </w:t>
      </w:r>
      <w:r>
        <w:rPr>
          <w:rFonts w:ascii="Calibri" w:hAnsi="Calibri"/>
          <w:color w:val="000000"/>
          <w:sz w:val="22"/>
          <w:szCs w:val="22"/>
        </w:rPr>
        <w:t>ASBCA Nos. 58556 and 58557</w:t>
      </w:r>
    </w:p>
    <w:p>
      <w:pPr>
        <w:widowControl w:val="0"/>
        <w:autoSpaceDE w:val="0"/>
        <w:autoSpaceDN w:val="0"/>
        <w:adjustRightInd w:val="0"/>
        <w:ind w:left="720"/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color w:val="000000"/>
          <w:sz w:val="22"/>
          <w:szCs w:val="22"/>
        </w:rPr>
        <w:t xml:space="preserve">and </w:t>
      </w:r>
    </w:p>
    <w:p>
      <w:pPr>
        <w:spacing w:before="5" w:line="268" w:lineRule="exact"/>
        <w:ind w:left="720"/>
        <w:textAlignment w:val="baseline"/>
        <w:rPr>
          <w:rFonts w:ascii="Calibri" w:hAnsi="Calibri"/>
          <w:b/>
          <w:color w:val="000000"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 xml:space="preserve">Eyak Technology, LLC (EyakTek), </w:t>
      </w:r>
      <w:r>
        <w:rPr>
          <w:rFonts w:ascii="Calibri" w:hAnsi="Calibri"/>
          <w:color w:val="000000"/>
          <w:sz w:val="22"/>
          <w:szCs w:val="22"/>
        </w:rPr>
        <w:t>ASBCA Nos. 58552, 58553, 58554, and 58555,</w:t>
      </w:r>
    </w:p>
    <w:p>
      <w:pPr>
        <w:widowControl w:val="0"/>
        <w:autoSpaceDE w:val="0"/>
        <w:autoSpaceDN w:val="0"/>
        <w:adjustRightInd w:val="0"/>
        <w:rPr>
          <w:rFonts w:ascii="Calibri" w:hAnsi="Calibri"/>
          <w:b/>
          <w:sz w:val="22"/>
          <w:szCs w:val="22"/>
        </w:rPr>
      </w:pPr>
    </w:p>
    <w:p>
      <w:pPr>
        <w:widowControl w:val="0"/>
        <w:numPr>
          <w:ilvl w:val="0"/>
          <w:numId w:val="32"/>
        </w:numPr>
        <w:autoSpaceDE w:val="0"/>
        <w:autoSpaceDN w:val="0"/>
        <w:adjustRightInd w:val="0"/>
        <w:rPr>
          <w:rFonts w:ascii="Calibri" w:hAnsi="Calibri"/>
          <w:i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Muse Business Services, LLC</w:t>
      </w:r>
      <w:r>
        <w:rPr>
          <w:rFonts w:ascii="Calibri" w:hAnsi="Calibri"/>
          <w:sz w:val="22"/>
          <w:szCs w:val="22"/>
        </w:rPr>
        <w:t>, CBCA No. 3537</w:t>
      </w:r>
      <w:r>
        <w:rPr>
          <w:rFonts w:ascii="Calibri" w:hAnsi="Calibri"/>
          <w:sz w:val="22"/>
          <w:szCs w:val="22"/>
        </w:rPr>
        <w:tab/>
      </w:r>
    </w:p>
    <w:p>
      <w:pPr>
        <w:widowControl w:val="0"/>
        <w:autoSpaceDE w:val="0"/>
        <w:autoSpaceDN w:val="0"/>
        <w:adjustRightInd w:val="0"/>
        <w:rPr>
          <w:rFonts w:ascii="Calibri" w:hAnsi="Calibri"/>
          <w:i/>
          <w:sz w:val="22"/>
          <w:szCs w:val="22"/>
        </w:rPr>
      </w:pPr>
    </w:p>
    <w:p>
      <w:pPr>
        <w:widowControl w:val="0"/>
        <w:numPr>
          <w:ilvl w:val="0"/>
          <w:numId w:val="32"/>
        </w:numPr>
        <w:autoSpaceDE w:val="0"/>
        <w:autoSpaceDN w:val="0"/>
        <w:adjustRightInd w:val="0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Kellogg Brown &amp; Root Services, Inc</w:t>
      </w:r>
      <w:r>
        <w:rPr>
          <w:rFonts w:ascii="Calibri" w:hAnsi="Calibri"/>
          <w:i/>
          <w:sz w:val="22"/>
          <w:szCs w:val="22"/>
        </w:rPr>
        <w:t xml:space="preserve">., </w:t>
      </w:r>
      <w:r>
        <w:rPr>
          <w:rFonts w:ascii="Calibri" w:hAnsi="Calibri"/>
          <w:sz w:val="22"/>
          <w:szCs w:val="22"/>
        </w:rPr>
        <w:t>ASBCA Nos. 56358 et al</w:t>
      </w:r>
    </w:p>
    <w:p>
      <w:pPr>
        <w:widowControl w:val="0"/>
        <w:autoSpaceDE w:val="0"/>
        <w:autoSpaceDN w:val="0"/>
        <w:adjustRightInd w:val="0"/>
        <w:rPr>
          <w:rFonts w:ascii="Calibri" w:hAnsi="Calibri"/>
          <w:sz w:val="22"/>
          <w:szCs w:val="22"/>
        </w:rPr>
      </w:pPr>
    </w:p>
    <w:p>
      <w:pPr>
        <w:widowControl w:val="0"/>
        <w:numPr>
          <w:ilvl w:val="0"/>
          <w:numId w:val="32"/>
        </w:numPr>
        <w:autoSpaceDE w:val="0"/>
        <w:autoSpaceDN w:val="0"/>
        <w:adjustRightInd w:val="0"/>
        <w:ind w:right="-90"/>
        <w:rPr>
          <w:rFonts w:ascii="Calibri" w:hAnsi="Calibri"/>
          <w:i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Temple Contract Station LC</w:t>
      </w:r>
      <w:r>
        <w:rPr>
          <w:rFonts w:ascii="Calibri" w:hAnsi="Calibri"/>
          <w:sz w:val="22"/>
          <w:szCs w:val="22"/>
        </w:rPr>
        <w:t>, PSBCA Nos. 6430, 6488</w:t>
      </w:r>
    </w:p>
    <w:p>
      <w:pPr>
        <w:widowControl w:val="0"/>
        <w:autoSpaceDE w:val="0"/>
        <w:autoSpaceDN w:val="0"/>
        <w:adjustRightInd w:val="0"/>
        <w:rPr>
          <w:rFonts w:ascii="Calibri" w:hAnsi="Calibri"/>
          <w:i/>
          <w:sz w:val="22"/>
          <w:szCs w:val="22"/>
        </w:rPr>
      </w:pPr>
    </w:p>
    <w:p>
      <w:pPr>
        <w:widowControl w:val="0"/>
        <w:numPr>
          <w:ilvl w:val="0"/>
          <w:numId w:val="32"/>
        </w:numPr>
        <w:autoSpaceDE w:val="0"/>
        <w:autoSpaceDN w:val="0"/>
        <w:adjustRightInd w:val="0"/>
        <w:rPr>
          <w:rFonts w:ascii="Calibri" w:hAnsi="Calibri"/>
          <w:i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Brookwood Research Center, LLC</w:t>
      </w:r>
      <w:r>
        <w:rPr>
          <w:rFonts w:ascii="Calibri" w:hAnsi="Calibri"/>
          <w:sz w:val="22"/>
          <w:szCs w:val="22"/>
        </w:rPr>
        <w:t>, CBCA No. 3783</w:t>
      </w:r>
    </w:p>
    <w:p>
      <w:pPr>
        <w:widowControl w:val="0"/>
        <w:autoSpaceDE w:val="0"/>
        <w:autoSpaceDN w:val="0"/>
        <w:adjustRightInd w:val="0"/>
        <w:rPr>
          <w:rFonts w:ascii="Calibri" w:hAnsi="Calibri"/>
          <w:sz w:val="22"/>
          <w:szCs w:val="22"/>
        </w:rPr>
      </w:pPr>
    </w:p>
    <w:p>
      <w:pPr>
        <w:widowControl w:val="0"/>
        <w:numPr>
          <w:ilvl w:val="0"/>
          <w:numId w:val="32"/>
        </w:numPr>
        <w:autoSpaceDE w:val="0"/>
        <w:autoSpaceDN w:val="0"/>
        <w:adjustRightInd w:val="0"/>
        <w:rPr>
          <w:rFonts w:ascii="Calibri" w:hAnsi="Calibri"/>
          <w:i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Classic Site Solutions, Inc</w:t>
      </w:r>
      <w:r>
        <w:rPr>
          <w:rFonts w:ascii="Calibri" w:hAnsi="Calibri"/>
          <w:sz w:val="22"/>
          <w:szCs w:val="22"/>
        </w:rPr>
        <w:t>., ASBCA Nos. 58376, 58573</w:t>
      </w:r>
    </w:p>
    <w:p>
      <w:pPr>
        <w:widowControl w:val="0"/>
        <w:autoSpaceDE w:val="0"/>
        <w:autoSpaceDN w:val="0"/>
        <w:adjustRightInd w:val="0"/>
        <w:rPr>
          <w:rFonts w:ascii="Calibri" w:hAnsi="Calibri"/>
          <w:i/>
          <w:sz w:val="22"/>
          <w:szCs w:val="22"/>
        </w:rPr>
      </w:pPr>
    </w:p>
    <w:p>
      <w:pPr>
        <w:widowControl w:val="0"/>
        <w:numPr>
          <w:ilvl w:val="0"/>
          <w:numId w:val="32"/>
        </w:numPr>
        <w:autoSpaceDE w:val="0"/>
        <w:autoSpaceDN w:val="0"/>
        <w:adjustRightInd w:val="0"/>
        <w:rPr>
          <w:rFonts w:ascii="Calibri" w:hAnsi="Calibri"/>
          <w:i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t>Tele-Consultants, Inc</w:t>
      </w:r>
      <w:r>
        <w:rPr>
          <w:rFonts w:ascii="Calibri" w:hAnsi="Calibri"/>
          <w:sz w:val="22"/>
          <w:szCs w:val="22"/>
        </w:rPr>
        <w:t>., ASBCA No. 58129</w:t>
      </w:r>
    </w:p>
    <w:p>
      <w:pPr>
        <w:widowControl w:val="0"/>
        <w:autoSpaceDE w:val="0"/>
        <w:autoSpaceDN w:val="0"/>
        <w:adjustRightInd w:val="0"/>
        <w:ind w:left="720"/>
        <w:rPr>
          <w:rFonts w:ascii="Calibri" w:hAnsi="Calibri"/>
          <w:sz w:val="22"/>
          <w:szCs w:val="22"/>
        </w:rPr>
      </w:pPr>
    </w:p>
    <w:bookmarkStart w:id="3" w:name="_MON_1474786995"/>
    <w:bookmarkEnd w:id="3"/>
    <w:p>
      <w:pPr>
        <w:widowControl w:val="0"/>
        <w:autoSpaceDE w:val="0"/>
        <w:autoSpaceDN w:val="0"/>
        <w:adjustRightInd w:val="0"/>
        <w:ind w:left="720"/>
        <w:rPr>
          <w:rFonts w:ascii="Calibri" w:hAnsi="Calibri"/>
          <w:i/>
          <w:sz w:val="22"/>
          <w:szCs w:val="22"/>
        </w:rPr>
      </w:pPr>
      <w:r>
        <w:object w:dxaOrig="1501" w:dyaOrig="940">
          <v:shape id="_x0000_i1085" type="#_x0000_t75" style="width:75.3pt;height:47.1pt" o:ole="">
            <v:imagedata r:id="rId136" o:title=""/>
          </v:shape>
          <o:OLEObject Type="Embed" ProgID="Word.Document.12" ShapeID="_x0000_i1085" DrawAspect="Icon" ObjectID="_1474787083" r:id="rId137">
            <o:FieldCodes>\s</o:FieldCodes>
          </o:OLEObject>
        </w:object>
      </w:r>
    </w:p>
    <w:p>
      <w:pPr>
        <w:tabs>
          <w:tab w:val="left" w:pos="1710"/>
        </w:tabs>
        <w:rPr>
          <w:rFonts w:ascii="Calibri" w:hAnsi="Calibri"/>
          <w:i/>
          <w:sz w:val="22"/>
          <w:szCs w:val="22"/>
        </w:rPr>
      </w:pPr>
    </w:p>
    <w:p>
      <w:pPr>
        <w:spacing w:after="200" w:line="276" w:lineRule="auto"/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b/>
          <w:sz w:val="22"/>
          <w:szCs w:val="22"/>
        </w:rPr>
        <w:br w:type="page"/>
      </w:r>
    </w:p>
    <w:p>
      <w:pPr>
        <w:spacing w:after="200" w:line="276" w:lineRule="auto"/>
        <w:rPr>
          <w:rFonts w:ascii="Calibri" w:hAnsi="Calibri"/>
          <w:b/>
          <w:sz w:val="32"/>
          <w:szCs w:val="32"/>
        </w:rPr>
      </w:pPr>
      <w:r>
        <w:rPr>
          <w:rFonts w:ascii="Calibri" w:hAnsi="Calibri"/>
          <w:b/>
          <w:sz w:val="32"/>
          <w:szCs w:val="32"/>
        </w:rPr>
        <w:lastRenderedPageBreak/>
        <w:t>Tab 10</w:t>
      </w:r>
    </w:p>
    <w:p>
      <w:pPr>
        <w:pStyle w:val="NormalWeb"/>
        <w:tabs>
          <w:tab w:val="left" w:pos="1260"/>
        </w:tabs>
        <w:rPr>
          <w:rFonts w:ascii="Calibri" w:hAnsi="Calibri"/>
          <w:b/>
          <w:sz w:val="32"/>
          <w:szCs w:val="32"/>
        </w:rPr>
      </w:pPr>
      <w:r>
        <w:rPr>
          <w:rFonts w:ascii="Calibri" w:hAnsi="Calibri"/>
          <w:b/>
          <w:sz w:val="32"/>
          <w:szCs w:val="32"/>
        </w:rPr>
        <w:t>Panel No. 6 (3:45 - 4:45)</w:t>
      </w:r>
      <w:r>
        <w:rPr>
          <w:rFonts w:ascii="Calibri" w:hAnsi="Calibri"/>
          <w:b/>
          <w:sz w:val="32"/>
          <w:szCs w:val="32"/>
        </w:rPr>
        <w:tab/>
      </w:r>
    </w:p>
    <w:p>
      <w:pPr>
        <w:pStyle w:val="NormalWeb"/>
        <w:tabs>
          <w:tab w:val="left" w:pos="1260"/>
        </w:tabs>
        <w:rPr>
          <w:rFonts w:ascii="Calibri" w:hAnsi="Calibri"/>
          <w:color w:val="000000"/>
          <w:sz w:val="32"/>
          <w:szCs w:val="32"/>
        </w:rPr>
      </w:pPr>
      <w:r>
        <w:rPr>
          <w:rStyle w:val="Strong"/>
          <w:rFonts w:ascii="Calibri" w:hAnsi="Calibri"/>
          <w:bCs w:val="0"/>
          <w:color w:val="000000"/>
          <w:sz w:val="32"/>
          <w:szCs w:val="32"/>
        </w:rPr>
        <w:t xml:space="preserve">BCA </w:t>
      </w:r>
      <w:r>
        <w:rPr>
          <w:rStyle w:val="Strong"/>
          <w:rFonts w:ascii="Calibri" w:hAnsi="Calibri"/>
          <w:bCs w:val="0"/>
          <w:caps/>
          <w:color w:val="000000"/>
          <w:sz w:val="32"/>
          <w:szCs w:val="32"/>
        </w:rPr>
        <w:t>Judges Panel</w:t>
      </w:r>
      <w:r>
        <w:rPr>
          <w:rStyle w:val="Strong"/>
          <w:rFonts w:ascii="Calibri" w:hAnsi="Calibri"/>
          <w:bCs w:val="0"/>
          <w:color w:val="000000"/>
          <w:sz w:val="32"/>
          <w:szCs w:val="32"/>
        </w:rPr>
        <w:t xml:space="preserve"> </w:t>
      </w:r>
      <w:r>
        <w:rPr>
          <w:rFonts w:ascii="Calibri" w:hAnsi="Calibri"/>
          <w:color w:val="000000"/>
          <w:sz w:val="32"/>
          <w:szCs w:val="32"/>
        </w:rPr>
        <w:t xml:space="preserve"> </w:t>
      </w:r>
    </w:p>
    <w:p>
      <w:pPr>
        <w:pStyle w:val="NormalWeb"/>
        <w:tabs>
          <w:tab w:val="left" w:pos="1260"/>
        </w:tabs>
        <w:rPr>
          <w:rStyle w:val="Strong"/>
          <w:rFonts w:ascii="Calibri" w:hAnsi="Calibri"/>
          <w:bCs w:val="0"/>
          <w:color w:val="000000"/>
          <w:sz w:val="22"/>
          <w:szCs w:val="22"/>
        </w:rPr>
      </w:pPr>
    </w:p>
    <w:p>
      <w:pPr>
        <w:pStyle w:val="NormalWeb"/>
        <w:tabs>
          <w:tab w:val="left" w:pos="1260"/>
        </w:tabs>
        <w:rPr>
          <w:rStyle w:val="Strong"/>
          <w:rFonts w:ascii="Calibri" w:hAnsi="Calibri"/>
          <w:bCs w:val="0"/>
          <w:color w:val="000000"/>
          <w:sz w:val="22"/>
          <w:szCs w:val="22"/>
        </w:rPr>
      </w:pPr>
      <w:r>
        <w:rPr>
          <w:rStyle w:val="Strong"/>
          <w:rFonts w:ascii="Calibri" w:hAnsi="Calibri"/>
          <w:bCs w:val="0"/>
          <w:color w:val="000000"/>
          <w:sz w:val="22"/>
          <w:szCs w:val="22"/>
        </w:rPr>
        <w:t>Moderator: Chief Judge Marc Loud, DC CAB</w:t>
      </w:r>
    </w:p>
    <w:p>
      <w:pPr>
        <w:pStyle w:val="NormalWeb"/>
        <w:tabs>
          <w:tab w:val="left" w:pos="1260"/>
        </w:tabs>
        <w:rPr>
          <w:rFonts w:ascii="Calibri" w:hAnsi="Calibri"/>
          <w:b/>
          <w:caps/>
          <w:sz w:val="22"/>
          <w:szCs w:val="22"/>
        </w:rPr>
      </w:pPr>
      <w:r>
        <w:rPr>
          <w:rFonts w:ascii="Calibri" w:hAnsi="Calibri"/>
          <w:b/>
          <w:color w:val="000000"/>
          <w:sz w:val="22"/>
          <w:szCs w:val="22"/>
        </w:rPr>
        <w:t>Panelists</w:t>
      </w:r>
      <w:r>
        <w:rPr>
          <w:rFonts w:ascii="Calibri" w:hAnsi="Calibri"/>
          <w:color w:val="000000"/>
          <w:sz w:val="22"/>
          <w:szCs w:val="22"/>
        </w:rPr>
        <w:t xml:space="preserve">: </w:t>
      </w:r>
      <w:r>
        <w:rPr>
          <w:rFonts w:ascii="Calibri" w:hAnsi="Calibri"/>
          <w:b/>
          <w:color w:val="000000"/>
          <w:sz w:val="22"/>
          <w:szCs w:val="22"/>
        </w:rPr>
        <w:t>Judge Marie Collins</w:t>
      </w:r>
      <w:r>
        <w:rPr>
          <w:rFonts w:ascii="Calibri" w:hAnsi="Calibri"/>
          <w:color w:val="000000"/>
          <w:sz w:val="22"/>
          <w:szCs w:val="22"/>
        </w:rPr>
        <w:t xml:space="preserve">, FAA ODRA; </w:t>
      </w:r>
      <w:r>
        <w:rPr>
          <w:rFonts w:ascii="Calibri" w:hAnsi="Calibri"/>
          <w:b/>
          <w:color w:val="000000"/>
          <w:sz w:val="22"/>
          <w:szCs w:val="22"/>
        </w:rPr>
        <w:t>Judge</w:t>
      </w:r>
      <w:r>
        <w:rPr>
          <w:rFonts w:ascii="Calibri" w:hAnsi="Calibri"/>
          <w:color w:val="000000"/>
          <w:sz w:val="22"/>
          <w:szCs w:val="22"/>
        </w:rPr>
        <w:t xml:space="preserve"> </w:t>
      </w:r>
      <w:r>
        <w:rPr>
          <w:rFonts w:ascii="Calibri" w:hAnsi="Calibri"/>
          <w:b/>
          <w:color w:val="000000"/>
          <w:sz w:val="22"/>
          <w:szCs w:val="22"/>
        </w:rPr>
        <w:t>Maxine McBean</w:t>
      </w:r>
      <w:r>
        <w:rPr>
          <w:rFonts w:ascii="Calibri" w:hAnsi="Calibri"/>
          <w:color w:val="000000"/>
          <w:sz w:val="22"/>
          <w:szCs w:val="22"/>
        </w:rPr>
        <w:t>, DC CAB;</w:t>
      </w:r>
      <w:r>
        <w:rPr>
          <w:rFonts w:ascii="Calibri" w:hAnsi="Calibri"/>
          <w:b/>
          <w:color w:val="000000"/>
          <w:sz w:val="22"/>
          <w:szCs w:val="22"/>
        </w:rPr>
        <w:t xml:space="preserve"> Judge Elizabeth W. Newsom</w:t>
      </w:r>
      <w:r>
        <w:rPr>
          <w:rFonts w:ascii="Calibri" w:hAnsi="Calibri"/>
          <w:color w:val="000000"/>
          <w:sz w:val="22"/>
          <w:szCs w:val="22"/>
        </w:rPr>
        <w:t xml:space="preserve">; ASBCA; </w:t>
      </w:r>
      <w:r>
        <w:rPr>
          <w:rFonts w:ascii="Calibri" w:hAnsi="Calibri"/>
          <w:b/>
          <w:color w:val="000000"/>
          <w:sz w:val="22"/>
          <w:szCs w:val="22"/>
        </w:rPr>
        <w:t>Judge Peter Pontzer</w:t>
      </w:r>
      <w:r>
        <w:rPr>
          <w:rFonts w:ascii="Calibri" w:hAnsi="Calibri"/>
          <w:color w:val="000000"/>
          <w:sz w:val="22"/>
          <w:szCs w:val="22"/>
        </w:rPr>
        <w:t xml:space="preserve">, PSBCA; </w:t>
      </w:r>
      <w:r>
        <w:rPr>
          <w:rFonts w:ascii="Calibri" w:hAnsi="Calibri"/>
          <w:b/>
          <w:color w:val="000000"/>
          <w:sz w:val="22"/>
          <w:szCs w:val="22"/>
        </w:rPr>
        <w:t xml:space="preserve">Judge Jonathan Zischkau, </w:t>
      </w:r>
      <w:r>
        <w:rPr>
          <w:rFonts w:ascii="Calibri" w:hAnsi="Calibri"/>
          <w:color w:val="000000"/>
          <w:sz w:val="22"/>
          <w:szCs w:val="22"/>
        </w:rPr>
        <w:t>CBCA</w:t>
      </w:r>
    </w:p>
    <w:p>
      <w:pPr>
        <w:tabs>
          <w:tab w:val="left" w:pos="1260"/>
        </w:tabs>
        <w:ind w:left="1260" w:hanging="1260"/>
        <w:rPr>
          <w:rFonts w:ascii="Calibri" w:hAnsi="Calibri"/>
          <w:color w:val="000000"/>
          <w:sz w:val="22"/>
          <w:szCs w:val="22"/>
        </w:rPr>
      </w:pPr>
    </w:p>
    <w:bookmarkStart w:id="4" w:name="_MON_1474462627"/>
    <w:bookmarkEnd w:id="4"/>
    <w:p>
      <w:pPr>
        <w:tabs>
          <w:tab w:val="left" w:pos="1260"/>
        </w:tabs>
        <w:ind w:left="1260" w:hanging="1260"/>
      </w:pPr>
      <w:r>
        <w:object w:dxaOrig="1501" w:dyaOrig="940">
          <v:shape id="_x0000_i1082" type="#_x0000_t75" style="width:74.75pt;height:47.1pt" o:ole="">
            <v:imagedata r:id="rId138" o:title=""/>
          </v:shape>
          <o:OLEObject Type="Embed" ProgID="Word.Document.12" ShapeID="_x0000_i1082" DrawAspect="Icon" ObjectID="_1474787084" r:id="rId139">
            <o:FieldCodes>\s</o:FieldCodes>
          </o:OLEObject>
        </w:object>
      </w:r>
      <w:r>
        <w:object w:dxaOrig="1521" w:dyaOrig="953">
          <v:shape id="_x0000_i1083" type="#_x0000_t75" style="width:75.3pt;height:48.2pt" o:ole="">
            <v:imagedata r:id="rId140" o:title=""/>
          </v:shape>
          <o:OLEObject Type="Embed" ProgID="AcroExch.Document.11" ShapeID="_x0000_i1083" DrawAspect="Icon" ObjectID="_1474787085" r:id="rId141"/>
        </w:object>
      </w:r>
    </w:p>
    <w:p>
      <w:pPr>
        <w:spacing w:after="200" w:line="276" w:lineRule="auto"/>
      </w:pPr>
      <w:r>
        <w:br w:type="page"/>
      </w:r>
    </w:p>
    <w:p>
      <w:pPr>
        <w:pStyle w:val="NormalWeb"/>
        <w:tabs>
          <w:tab w:val="left" w:pos="1260"/>
        </w:tabs>
        <w:rPr>
          <w:rFonts w:ascii="Calibri" w:hAnsi="Calibri"/>
          <w:b/>
          <w:sz w:val="32"/>
          <w:szCs w:val="32"/>
        </w:rPr>
      </w:pPr>
      <w:r>
        <w:rPr>
          <w:rFonts w:ascii="Calibri" w:hAnsi="Calibri"/>
          <w:b/>
          <w:sz w:val="32"/>
          <w:szCs w:val="32"/>
        </w:rPr>
        <w:lastRenderedPageBreak/>
        <w:t>Tab 11</w:t>
      </w:r>
    </w:p>
    <w:p>
      <w:pPr>
        <w:tabs>
          <w:tab w:val="left" w:pos="1260"/>
        </w:tabs>
        <w:ind w:left="1260" w:hanging="1260"/>
        <w:rPr>
          <w:rFonts w:ascii="Calibri" w:hAnsi="Calibri"/>
          <w:b/>
          <w:i/>
          <w:color w:val="C00000"/>
          <w:sz w:val="22"/>
          <w:szCs w:val="22"/>
        </w:rPr>
      </w:pPr>
      <w:r>
        <w:rPr>
          <w:rFonts w:ascii="Calibri" w:hAnsi="Calibri"/>
          <w:b/>
          <w:sz w:val="32"/>
          <w:szCs w:val="32"/>
        </w:rPr>
        <w:t>PROGRAM FEEDBACK FORM</w:t>
      </w:r>
      <w:r>
        <w:rPr>
          <w:rStyle w:val="Strong"/>
          <w:rFonts w:ascii="Calibri" w:hAnsi="Calibri"/>
          <w:bCs w:val="0"/>
          <w:color w:val="000000"/>
          <w:sz w:val="32"/>
          <w:szCs w:val="32"/>
        </w:rPr>
        <w:t xml:space="preserve"> </w:t>
      </w:r>
      <w:r>
        <w:rPr>
          <w:rFonts w:ascii="Calibri" w:hAnsi="Calibri"/>
          <w:color w:val="000000"/>
          <w:sz w:val="32"/>
          <w:szCs w:val="32"/>
        </w:rPr>
        <w:t xml:space="preserve"> </w:t>
      </w:r>
    </w:p>
    <w:p>
      <w:pPr>
        <w:jc w:val="center"/>
        <w:rPr>
          <w:rFonts w:ascii="Calibri" w:hAnsi="Calibri"/>
          <w:b/>
          <w:sz w:val="22"/>
          <w:szCs w:val="22"/>
        </w:rPr>
        <w:sectPr>
          <w:pgSz w:w="12240" w:h="15840" w:code="1"/>
          <w:pgMar w:top="720" w:right="1440" w:bottom="720" w:left="1440" w:header="720" w:footer="720" w:gutter="0"/>
          <w:pgNumType w:start="1"/>
          <w:cols w:space="720"/>
          <w:titlePg/>
          <w:docGrid w:linePitch="360"/>
        </w:sectPr>
      </w:pPr>
      <w:r>
        <w:rPr>
          <w:rFonts w:ascii="Calibri" w:hAnsi="Calibri"/>
          <w:b/>
          <w:i/>
          <w:color w:val="C00000"/>
          <w:sz w:val="22"/>
          <w:szCs w:val="22"/>
        </w:rPr>
        <w:br w:type="page"/>
      </w:r>
    </w:p>
    <w:p>
      <w:pPr>
        <w:jc w:val="center"/>
        <w:rPr>
          <w:rFonts w:ascii="Calibri" w:hAnsi="Calibri"/>
          <w:b/>
        </w:rPr>
      </w:pPr>
      <w:r>
        <w:rPr>
          <w:rFonts w:ascii="Calibri" w:hAnsi="Calibri"/>
          <w:b/>
        </w:rPr>
        <w:lastRenderedPageBreak/>
        <w:t>BCABA, INC. 2014 ANNUAL PROGRAM</w:t>
      </w:r>
    </w:p>
    <w:p>
      <w:pPr>
        <w:spacing w:after="200" w:line="276" w:lineRule="auto"/>
        <w:jc w:val="center"/>
        <w:rPr>
          <w:rFonts w:ascii="Calibri" w:hAnsi="Calibri"/>
          <w:b/>
          <w:sz w:val="22"/>
          <w:szCs w:val="22"/>
        </w:rPr>
      </w:pPr>
      <w:r>
        <w:rPr>
          <w:rFonts w:ascii="Calibri" w:hAnsi="Calibri"/>
          <w:b/>
        </w:rPr>
        <w:t>FEEDBACK FORM</w:t>
      </w:r>
    </w:p>
    <w:tbl>
      <w:tblPr>
        <w:tblStyle w:val="TableGrid"/>
        <w:tblW w:w="0" w:type="auto"/>
        <w:tblLook w:val="04A0"/>
      </w:tblPr>
      <w:tblGrid>
        <w:gridCol w:w="3600"/>
        <w:gridCol w:w="1440"/>
        <w:gridCol w:w="1440"/>
        <w:gridCol w:w="1440"/>
        <w:gridCol w:w="1440"/>
        <w:gridCol w:w="1540"/>
        <w:gridCol w:w="3600"/>
      </w:tblGrid>
      <w:tr>
        <w:tc>
          <w:tcPr>
            <w:tcW w:w="360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Excellent</w:t>
            </w:r>
          </w:p>
        </w:tc>
        <w:tc>
          <w:tcPr>
            <w:tcW w:w="1440" w:type="dxa"/>
          </w:tcPr>
          <w:p>
            <w:pPr>
              <w:jc w:val="center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 xml:space="preserve">Very </w:t>
            </w:r>
          </w:p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Good</w:t>
            </w: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Satisfactory</w:t>
            </w:r>
          </w:p>
        </w:tc>
        <w:tc>
          <w:tcPr>
            <w:tcW w:w="1440" w:type="dxa"/>
          </w:tcPr>
          <w:p>
            <w:pPr>
              <w:jc w:val="center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Below</w:t>
            </w:r>
          </w:p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Average</w:t>
            </w:r>
          </w:p>
        </w:tc>
        <w:tc>
          <w:tcPr>
            <w:tcW w:w="15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Unsatisfactory</w:t>
            </w:r>
          </w:p>
        </w:tc>
        <w:tc>
          <w:tcPr>
            <w:tcW w:w="360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COMMENTS</w:t>
            </w:r>
          </w:p>
        </w:tc>
      </w:tr>
      <w:tr>
        <w:tc>
          <w:tcPr>
            <w:tcW w:w="3600" w:type="dxa"/>
          </w:tcPr>
          <w:p>
            <w:pPr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Facilities and Service (including food)?</w:t>
            </w: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5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360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</w:tr>
      <w:tr>
        <w:tc>
          <w:tcPr>
            <w:tcW w:w="3600" w:type="dxa"/>
          </w:tcPr>
          <w:p>
            <w:pPr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Were the Speakers Audible</w:t>
            </w:r>
          </w:p>
          <w:p>
            <w:pPr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(Sound Quality)?</w:t>
            </w: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5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360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</w:tr>
      <w:tr>
        <w:tc>
          <w:tcPr>
            <w:tcW w:w="3600" w:type="dxa"/>
          </w:tcPr>
          <w:p>
            <w:pPr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Visual Materials Clear?</w:t>
            </w: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5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360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</w:tr>
      <w:tr>
        <w:tc>
          <w:tcPr>
            <w:tcW w:w="3600" w:type="dxa"/>
          </w:tcPr>
          <w:p>
            <w:pPr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Seating Acceptable?</w:t>
            </w: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5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360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</w:tr>
      <w:tr>
        <w:tc>
          <w:tcPr>
            <w:tcW w:w="3600" w:type="dxa"/>
          </w:tcPr>
          <w:p>
            <w:pPr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Written Materials?</w:t>
            </w: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5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360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</w:tr>
      <w:tr>
        <w:tc>
          <w:tcPr>
            <w:tcW w:w="3600" w:type="dxa"/>
          </w:tcPr>
          <w:p>
            <w:pPr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Format and Length of Program?</w:t>
            </w: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5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360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</w:tr>
      <w:tr>
        <w:tc>
          <w:tcPr>
            <w:tcW w:w="3600" w:type="dxa"/>
          </w:tcPr>
          <w:p>
            <w:pPr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  <w:u w:val="single"/>
              </w:rPr>
              <w:t>First Panel</w:t>
            </w:r>
            <w:r>
              <w:rPr>
                <w:rFonts w:ascii="Calibri" w:hAnsi="Calibri"/>
                <w:b/>
              </w:rPr>
              <w:t>: Court of Federal Claims and Federal Circuit Decisions:  Recent Developments</w:t>
            </w: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5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360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</w:tr>
      <w:tr>
        <w:tc>
          <w:tcPr>
            <w:tcW w:w="3600" w:type="dxa"/>
          </w:tcPr>
          <w:p>
            <w:pPr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  <w:u w:val="single"/>
              </w:rPr>
              <w:t>Second Panel</w:t>
            </w:r>
            <w:r>
              <w:rPr>
                <w:rFonts w:ascii="Calibri" w:hAnsi="Calibri"/>
                <w:b/>
              </w:rPr>
              <w:t>:</w:t>
            </w:r>
            <w:r>
              <w:rPr>
                <w:rStyle w:val="Heading1Char"/>
                <w:rFonts w:ascii="Calibri" w:hAnsi="Calibri"/>
                <w:bCs w:val="0"/>
              </w:rPr>
              <w:t xml:space="preserve"> </w:t>
            </w:r>
            <w:r>
              <w:rPr>
                <w:rStyle w:val="Strong"/>
                <w:rFonts w:ascii="Calibri" w:hAnsi="Calibri"/>
                <w:bCs w:val="0"/>
                <w:color w:val="000000"/>
              </w:rPr>
              <w:t>Regulatory Update: What You Need to Know About the Ever-Changing Regulatory Landscape</w:t>
            </w: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5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360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</w:tr>
      <w:tr>
        <w:tc>
          <w:tcPr>
            <w:tcW w:w="3600" w:type="dxa"/>
          </w:tcPr>
          <w:p>
            <w:pPr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  <w:u w:val="single"/>
              </w:rPr>
              <w:t>Third Panel</w:t>
            </w:r>
            <w:r>
              <w:rPr>
                <w:rFonts w:ascii="Calibri" w:hAnsi="Calibri"/>
                <w:b/>
              </w:rPr>
              <w:t>: The Civil False Claims Act</w:t>
            </w: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5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360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</w:tr>
      <w:tr>
        <w:tc>
          <w:tcPr>
            <w:tcW w:w="3600" w:type="dxa"/>
          </w:tcPr>
          <w:p>
            <w:pPr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Lunch Program</w:t>
            </w: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5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360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</w:tr>
      <w:tr>
        <w:tc>
          <w:tcPr>
            <w:tcW w:w="3600" w:type="dxa"/>
          </w:tcPr>
          <w:p>
            <w:pPr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  <w:u w:val="single"/>
              </w:rPr>
              <w:t>Fourth Panel</w:t>
            </w:r>
            <w:r>
              <w:rPr>
                <w:rFonts w:ascii="Calibri" w:hAnsi="Calibri"/>
                <w:b/>
              </w:rPr>
              <w:t>:  Ethics in Government Contracts</w:t>
            </w: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5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360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</w:tr>
      <w:tr>
        <w:tc>
          <w:tcPr>
            <w:tcW w:w="3600" w:type="dxa"/>
          </w:tcPr>
          <w:p>
            <w:pPr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  <w:u w:val="single"/>
              </w:rPr>
              <w:t>Fifth Panel</w:t>
            </w:r>
            <w:r>
              <w:rPr>
                <w:rFonts w:ascii="Calibri" w:hAnsi="Calibri"/>
                <w:b/>
              </w:rPr>
              <w:t>:</w:t>
            </w:r>
            <w:r>
              <w:rPr>
                <w:rStyle w:val="Heading1Char"/>
                <w:rFonts w:ascii="Calibri" w:hAnsi="Calibri"/>
                <w:bCs w:val="0"/>
              </w:rPr>
              <w:t xml:space="preserve"> </w:t>
            </w:r>
            <w:r>
              <w:rPr>
                <w:rStyle w:val="Strong"/>
                <w:rFonts w:ascii="Calibri" w:hAnsi="Calibri"/>
                <w:bCs w:val="0"/>
                <w:color w:val="000000"/>
              </w:rPr>
              <w:t xml:space="preserve"> </w:t>
            </w:r>
            <w:r>
              <w:rPr>
                <w:rFonts w:ascii="Calibri" w:hAnsi="Calibri"/>
                <w:color w:val="000000"/>
              </w:rPr>
              <w:t xml:space="preserve"> </w:t>
            </w:r>
            <w:r>
              <w:rPr>
                <w:rFonts w:ascii="Calibri" w:hAnsi="Calibri"/>
                <w:b/>
              </w:rPr>
              <w:t>Key BCA Decisions: The Year in Review</w:t>
            </w: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5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360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</w:tr>
      <w:tr>
        <w:tc>
          <w:tcPr>
            <w:tcW w:w="3600" w:type="dxa"/>
          </w:tcPr>
          <w:p>
            <w:pPr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  <w:u w:val="single"/>
              </w:rPr>
              <w:t>Sixth Panel</w:t>
            </w:r>
            <w:r>
              <w:rPr>
                <w:rFonts w:ascii="Calibri" w:hAnsi="Calibri"/>
                <w:b/>
              </w:rPr>
              <w:t>:</w:t>
            </w:r>
            <w:r>
              <w:rPr>
                <w:rStyle w:val="Heading1Char"/>
                <w:rFonts w:ascii="Calibri" w:hAnsi="Calibri"/>
                <w:bCs w:val="0"/>
              </w:rPr>
              <w:t xml:space="preserve"> </w:t>
            </w:r>
            <w:r>
              <w:rPr>
                <w:rStyle w:val="Strong"/>
                <w:rFonts w:ascii="Calibri" w:hAnsi="Calibri"/>
                <w:bCs w:val="0"/>
                <w:color w:val="000000"/>
              </w:rPr>
              <w:t xml:space="preserve">BCA Judges Panel </w:t>
            </w:r>
            <w:r>
              <w:rPr>
                <w:rFonts w:ascii="Calibri" w:hAnsi="Calibri"/>
                <w:color w:val="000000"/>
              </w:rPr>
              <w:t xml:space="preserve"> </w:t>
            </w: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5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360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</w:tr>
      <w:tr>
        <w:tc>
          <w:tcPr>
            <w:tcW w:w="3600" w:type="dxa"/>
          </w:tcPr>
          <w:p>
            <w:pPr>
              <w:rPr>
                <w:rFonts w:ascii="Calibri" w:hAnsi="Calibri"/>
                <w:b/>
              </w:rPr>
            </w:pPr>
            <w:r>
              <w:rPr>
                <w:rFonts w:ascii="Calibri" w:hAnsi="Calibri"/>
                <w:b/>
              </w:rPr>
              <w:t>OVERALL PROGRAM RATING:</w:t>
            </w: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4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154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  <w:tc>
          <w:tcPr>
            <w:tcW w:w="3600" w:type="dxa"/>
          </w:tcPr>
          <w:p>
            <w:pPr>
              <w:spacing w:after="200" w:line="276" w:lineRule="auto"/>
              <w:jc w:val="center"/>
              <w:rPr>
                <w:rFonts w:ascii="Calibri" w:hAnsi="Calibri"/>
                <w:b/>
              </w:rPr>
            </w:pPr>
          </w:p>
        </w:tc>
      </w:tr>
    </w:tbl>
    <w:p>
      <w:pPr>
        <w:pStyle w:val="NormalWeb"/>
        <w:tabs>
          <w:tab w:val="left" w:pos="1260"/>
        </w:tabs>
        <w:rPr>
          <w:rFonts w:ascii="Calibri" w:hAnsi="Calibri"/>
          <w:b/>
          <w:sz w:val="22"/>
          <w:szCs w:val="22"/>
        </w:rPr>
      </w:pPr>
    </w:p>
    <w:p>
      <w:pPr>
        <w:pStyle w:val="NormalWeb"/>
        <w:tabs>
          <w:tab w:val="left" w:pos="1260"/>
        </w:tabs>
        <w:rPr>
          <w:rFonts w:ascii="Calibri" w:hAnsi="Calibri"/>
          <w:b/>
          <w:sz w:val="22"/>
          <w:szCs w:val="22"/>
        </w:rPr>
      </w:pPr>
    </w:p>
    <w:p>
      <w:pPr>
        <w:spacing w:after="200" w:line="276" w:lineRule="auto"/>
        <w:rPr>
          <w:rFonts w:ascii="Calibri" w:hAnsi="Calibri"/>
          <w:b/>
          <w:sz w:val="22"/>
          <w:szCs w:val="22"/>
        </w:rPr>
        <w:sectPr>
          <w:pgSz w:w="15840" w:h="12240" w:orient="landscape" w:code="1"/>
          <w:pgMar w:top="720" w:right="720" w:bottom="720" w:left="720" w:header="720" w:footer="720" w:gutter="0"/>
          <w:pgNumType w:start="1"/>
          <w:cols w:space="720"/>
          <w:titlePg/>
          <w:docGrid w:linePitch="360"/>
        </w:sectPr>
      </w:pPr>
    </w:p>
    <w:p>
      <w:pPr>
        <w:spacing w:after="200" w:line="276" w:lineRule="auto"/>
        <w:jc w:val="center"/>
        <w:rPr>
          <w:rFonts w:ascii="Calibri" w:hAnsi="Calibri"/>
          <w:b/>
          <w:sz w:val="32"/>
          <w:szCs w:val="32"/>
        </w:rPr>
      </w:pPr>
    </w:p>
    <w:p>
      <w:pPr>
        <w:spacing w:after="200" w:line="276" w:lineRule="auto"/>
        <w:jc w:val="center"/>
        <w:rPr>
          <w:rFonts w:ascii="Calibri" w:hAnsi="Calibri"/>
          <w:b/>
          <w:sz w:val="32"/>
          <w:szCs w:val="32"/>
        </w:rPr>
      </w:pPr>
    </w:p>
    <w:p>
      <w:pPr>
        <w:spacing w:after="200" w:line="276" w:lineRule="auto"/>
        <w:jc w:val="center"/>
        <w:rPr>
          <w:rFonts w:ascii="Calibri" w:hAnsi="Calibri"/>
          <w:b/>
          <w:sz w:val="32"/>
          <w:szCs w:val="32"/>
        </w:rPr>
      </w:pPr>
    </w:p>
    <w:p>
      <w:pPr>
        <w:spacing w:after="200" w:line="276" w:lineRule="auto"/>
        <w:jc w:val="center"/>
        <w:rPr>
          <w:rFonts w:ascii="Calibri" w:hAnsi="Calibri"/>
          <w:b/>
          <w:sz w:val="32"/>
          <w:szCs w:val="32"/>
        </w:rPr>
      </w:pPr>
      <w:r>
        <w:rPr>
          <w:rFonts w:ascii="Calibri" w:hAnsi="Calibri"/>
          <w:b/>
          <w:sz w:val="32"/>
          <w:szCs w:val="32"/>
        </w:rPr>
        <w:t xml:space="preserve">Thank you for participating.  </w:t>
      </w:r>
    </w:p>
    <w:p>
      <w:pPr>
        <w:spacing w:after="200" w:line="276" w:lineRule="auto"/>
        <w:jc w:val="center"/>
        <w:rPr>
          <w:rFonts w:ascii="Calibri" w:hAnsi="Calibri"/>
          <w:b/>
          <w:sz w:val="32"/>
          <w:szCs w:val="32"/>
        </w:rPr>
      </w:pPr>
      <w:r>
        <w:rPr>
          <w:rFonts w:ascii="Calibri" w:hAnsi="Calibri"/>
          <w:b/>
          <w:sz w:val="32"/>
          <w:szCs w:val="32"/>
        </w:rPr>
        <w:t>We hope to see you again next year.</w:t>
      </w:r>
    </w:p>
    <w:sectPr>
      <w:pgSz w:w="12240" w:h="15840" w:code="1"/>
      <w:pgMar w:top="720" w:right="1440" w:bottom="720" w:left="1440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>
      <w:r>
        <w:separator/>
      </w:r>
    </w:p>
  </w:endnote>
  <w:endnote w:type="continuationSeparator" w:id="0">
    <w:p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pStyle w:val="Footer"/>
    </w:pPr>
    <w:fldSimple w:instr=" DOCPROPERTY &quot;DOCID&quot; \* MERGEFORMAT ">
      <w:r>
        <w:rPr>
          <w:rStyle w:val="DocID"/>
        </w:rPr>
        <w:t>68707842v1</w:t>
      </w:r>
    </w:fldSimple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pStyle w:val="Footer"/>
    </w:pPr>
    <w:fldSimple w:instr=" DOCPROPERTY &quot;DOCID&quot; \* MERGEFORMAT ">
      <w:r>
        <w:rPr>
          <w:rStyle w:val="DocID"/>
        </w:rPr>
        <w:t>68707842v1</w:t>
      </w:r>
    </w:fldSimple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pStyle w:val="Footer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pStyle w:val="Footer"/>
    </w:pPr>
    <w:fldSimple w:instr=" DOCPROPERTY &quot;DOCID&quot; \* MERGEFORMAT ">
      <w:r>
        <w:rPr>
          <w:rStyle w:val="DocID"/>
        </w:rPr>
        <w:t>68707842v1</w:t>
      </w:r>
    </w:fldSimple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pStyle w:val="Footer"/>
    </w:pPr>
    <w:fldSimple w:instr=" DOCPROPERTY &quot;DOCID&quot; \* MERGEFORMAT ">
      <w:r>
        <w:rPr>
          <w:rStyle w:val="DocID"/>
        </w:rPr>
        <w:t>68707842v1</w:t>
      </w:r>
    </w:fldSimple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rPr>
        <w:sz w:val="16"/>
        <w:szCs w:val="16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6387" type="#_x0000_t202" style="position:absolute;margin-left:18.75pt;margin-top:0;width:418.3pt;height:9pt;z-index:251660288;mso-wrap-edited:f;mso-wrap-distance-left:0;mso-wrap-distance-right:0;mso-position-horizontal-relative:page" wrapcoords="-62 0 -62 21600 21662 21600 21662 0 -62 0" o:allowincell="f" stroked="f">
          <v:fill opacity="0"/>
          <v:textbox inset="0,0,0,0">
            <w:txbxContent>
              <w:p>
                <w:pPr>
                  <w:keepNext/>
                  <w:keepLines/>
                  <w:rPr>
                    <w:rFonts w:ascii="Arial" w:hAnsi="Arial" w:cs="Arial"/>
                    <w:w w:val="120"/>
                  </w:rPr>
                </w:pPr>
                <w:r>
                  <w:rPr>
                    <w:rFonts w:ascii="Arial" w:hAnsi="Arial" w:cs="Arial"/>
                    <w:w w:val="120"/>
                    <w:szCs w:val="20"/>
                  </w:rPr>
                  <w:sym w:font="Wingdings" w:char="F06E"/>
                </w:r>
              </w:p>
            </w:txbxContent>
          </v:textbox>
          <w10:wrap type="square" anchorx="pag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autoSpaceDE w:val="0"/>
      <w:autoSpaceDN w:val="0"/>
      <w:adjustRightInd w:val="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>
      <w:r>
        <w:separator/>
      </w:r>
    </w:p>
  </w:footnote>
  <w:footnote w:type="continuationSeparator" w:id="0">
    <w:p>
      <w:r>
        <w:separator/>
      </w:r>
    </w:p>
    <w:p>
      <w:pPr>
        <w:rPr>
          <w:sz w:val="18"/>
          <w:szCs w:val="18"/>
        </w:rPr>
      </w:pPr>
      <w:r>
        <w:rPr>
          <w:sz w:val="18"/>
          <w:szCs w:val="18"/>
        </w:rPr>
        <w:t>Footnote continued from previous page</w:t>
      </w:r>
    </w:p>
  </w:footnote>
  <w:footnote w:type="continuationNotice" w:id="1">
    <w:p>
      <w:pPr>
        <w:jc w:val="right"/>
        <w:rPr>
          <w:sz w:val="18"/>
          <w:szCs w:val="18"/>
        </w:rPr>
      </w:pPr>
      <w:r>
        <w:rPr>
          <w:sz w:val="18"/>
          <w:szCs w:val="18"/>
        </w:rPr>
        <w:t>Footnote continued on next page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pStyle w:val="Header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pStyle w:val="Header"/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pStyle w:val="Header"/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pStyle w:val="Header"/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autoSpaceDE w:val="0"/>
      <w:autoSpaceDN w:val="0"/>
      <w:adjustRightInd w:val="0"/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>
    <w:pPr>
      <w:autoSpaceDE w:val="0"/>
      <w:autoSpaceDN w:val="0"/>
      <w:adjustRightInd w:val="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CAF83928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39A85654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2908866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39C385C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32AC7E1E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5762B074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3956F8FE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97F4D140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1A26AD06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1D7C7FDA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117F6E13"/>
    <w:multiLevelType w:val="multilevel"/>
    <w:tmpl w:val="254E7A64"/>
    <w:name w:val="AP Default Numbering Scheme"/>
    <w:lvl w:ilvl="0">
      <w:start w:val="1"/>
      <w:numFmt w:val="upperRoman"/>
      <w:pStyle w:val="Heading1"/>
      <w:lvlText w:val="%1."/>
      <w:lvlJc w:val="left"/>
      <w:pPr>
        <w:tabs>
          <w:tab w:val="num" w:pos="720"/>
        </w:tabs>
        <w:ind w:left="720" w:hanging="720"/>
      </w:pPr>
      <w:rPr>
        <w:color w:val="010000"/>
        <w:u w:val="none"/>
      </w:rPr>
    </w:lvl>
    <w:lvl w:ilvl="1">
      <w:start w:val="1"/>
      <w:numFmt w:val="upperLetter"/>
      <w:pStyle w:val="Heading2"/>
      <w:lvlText w:val="%2."/>
      <w:lvlJc w:val="left"/>
      <w:pPr>
        <w:tabs>
          <w:tab w:val="num" w:pos="1440"/>
        </w:tabs>
        <w:ind w:left="1440" w:hanging="720"/>
      </w:pPr>
      <w:rPr>
        <w:color w:val="010000"/>
        <w:u w:val="none"/>
      </w:rPr>
    </w:lvl>
    <w:lvl w:ilvl="2">
      <w:start w:val="1"/>
      <w:numFmt w:val="decimal"/>
      <w:pStyle w:val="Heading3"/>
      <w:lvlText w:val="%3."/>
      <w:lvlJc w:val="left"/>
      <w:pPr>
        <w:tabs>
          <w:tab w:val="num" w:pos="2160"/>
        </w:tabs>
        <w:ind w:left="2160" w:hanging="720"/>
      </w:pPr>
      <w:rPr>
        <w:color w:val="010000"/>
        <w:u w:val="none"/>
      </w:rPr>
    </w:lvl>
    <w:lvl w:ilvl="3">
      <w:start w:val="1"/>
      <w:numFmt w:val="lowerLetter"/>
      <w:pStyle w:val="Heading4"/>
      <w:lvlText w:val="%4."/>
      <w:lvlJc w:val="left"/>
      <w:pPr>
        <w:tabs>
          <w:tab w:val="num" w:pos="2880"/>
        </w:tabs>
        <w:ind w:left="2880" w:hanging="720"/>
      </w:pPr>
      <w:rPr>
        <w:color w:val="010000"/>
        <w:u w:val="none"/>
      </w:rPr>
    </w:lvl>
    <w:lvl w:ilvl="4">
      <w:start w:val="1"/>
      <w:numFmt w:val="lowerRoman"/>
      <w:pStyle w:val="Heading5"/>
      <w:lvlText w:val="(%5)"/>
      <w:lvlJc w:val="left"/>
      <w:pPr>
        <w:tabs>
          <w:tab w:val="num" w:pos="3600"/>
        </w:tabs>
        <w:ind w:left="3600" w:hanging="715"/>
      </w:pPr>
      <w:rPr>
        <w:color w:val="010000"/>
        <w:u w:val="none"/>
      </w:rPr>
    </w:lvl>
    <w:lvl w:ilvl="5">
      <w:start w:val="1"/>
      <w:numFmt w:val="lowerLetter"/>
      <w:pStyle w:val="Heading6"/>
      <w:lvlText w:val="(%6)"/>
      <w:lvlJc w:val="left"/>
      <w:pPr>
        <w:tabs>
          <w:tab w:val="num" w:pos="4325"/>
        </w:tabs>
        <w:ind w:left="4325" w:hanging="720"/>
      </w:pPr>
      <w:rPr>
        <w:color w:val="010000"/>
        <w:u w:val="none"/>
      </w:rPr>
    </w:lvl>
    <w:lvl w:ilvl="6">
      <w:start w:val="1"/>
      <w:numFmt w:val="upperRoman"/>
      <w:pStyle w:val="Heading7"/>
      <w:lvlText w:val="(%7)"/>
      <w:lvlJc w:val="left"/>
      <w:pPr>
        <w:tabs>
          <w:tab w:val="num" w:pos="5040"/>
        </w:tabs>
        <w:ind w:left="5040" w:hanging="720"/>
      </w:pPr>
      <w:rPr>
        <w:color w:val="010000"/>
        <w:u w:val="none"/>
      </w:rPr>
    </w:lvl>
    <w:lvl w:ilvl="7">
      <w:start w:val="1"/>
      <w:numFmt w:val="upperLetter"/>
      <w:pStyle w:val="Heading8"/>
      <w:lvlText w:val="(%8)"/>
      <w:lvlJc w:val="left"/>
      <w:pPr>
        <w:tabs>
          <w:tab w:val="num" w:pos="5760"/>
        </w:tabs>
        <w:ind w:left="5760" w:hanging="720"/>
      </w:pPr>
      <w:rPr>
        <w:color w:val="010000"/>
        <w:u w:val="none"/>
      </w:rPr>
    </w:lvl>
    <w:lvl w:ilvl="8">
      <w:start w:val="1"/>
      <w:numFmt w:val="decimal"/>
      <w:pStyle w:val="Heading9"/>
      <w:lvlText w:val="(%9)"/>
      <w:lvlJc w:val="left"/>
      <w:pPr>
        <w:tabs>
          <w:tab w:val="num" w:pos="6480"/>
        </w:tabs>
        <w:ind w:left="6480" w:hanging="720"/>
      </w:pPr>
      <w:rPr>
        <w:color w:val="010000"/>
        <w:u w:val="none"/>
      </w:rPr>
    </w:lvl>
  </w:abstractNum>
  <w:abstractNum w:abstractNumId="11">
    <w:nsid w:val="2F300CAB"/>
    <w:multiLevelType w:val="hybridMultilevel"/>
    <w:tmpl w:val="507AA9E4"/>
    <w:lvl w:ilvl="0" w:tplc="32E61382">
      <w:start w:val="1"/>
      <w:numFmt w:val="bullet"/>
      <w:lvlRestart w:val="0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1AA4815"/>
    <w:multiLevelType w:val="multilevel"/>
    <w:tmpl w:val="31A4AF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>
    <w:nsid w:val="6053162A"/>
    <w:multiLevelType w:val="multilevel"/>
    <w:tmpl w:val="A32C47F0"/>
    <w:lvl w:ilvl="0">
      <w:start w:val="1"/>
      <w:numFmt w:val="upperRoman"/>
      <w:lvlText w:val="%1."/>
      <w:lvlJc w:val="left"/>
      <w:pPr>
        <w:tabs>
          <w:tab w:val="num" w:pos="720"/>
        </w:tabs>
        <w:ind w:left="720" w:hanging="720"/>
      </w:pPr>
      <w:rPr>
        <w:rFonts w:hint="default"/>
        <w:color w:val="auto"/>
        <w:u w:val="none"/>
      </w:rPr>
    </w:lvl>
    <w:lvl w:ilvl="1">
      <w:start w:val="1"/>
      <w:numFmt w:val="upperLetter"/>
      <w:lvlText w:val="%2."/>
      <w:lvlJc w:val="left"/>
      <w:pPr>
        <w:tabs>
          <w:tab w:val="num" w:pos="1440"/>
        </w:tabs>
        <w:ind w:left="1440" w:hanging="720"/>
      </w:pPr>
      <w:rPr>
        <w:rFonts w:hint="default"/>
        <w:color w:val="auto"/>
        <w:u w:val="none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  <w:rPr>
        <w:rFonts w:hint="default"/>
        <w:color w:val="auto"/>
        <w:u w:val="none"/>
      </w:rPr>
    </w:lvl>
    <w:lvl w:ilvl="3">
      <w:start w:val="1"/>
      <w:numFmt w:val="lowerLetter"/>
      <w:lvlText w:val="%4."/>
      <w:lvlJc w:val="left"/>
      <w:pPr>
        <w:tabs>
          <w:tab w:val="num" w:pos="2880"/>
        </w:tabs>
        <w:ind w:left="2880" w:hanging="720"/>
      </w:pPr>
      <w:rPr>
        <w:rFonts w:hint="default"/>
        <w:color w:val="auto"/>
        <w:u w:val="none"/>
      </w:rPr>
    </w:lvl>
    <w:lvl w:ilvl="4">
      <w:start w:val="1"/>
      <w:numFmt w:val="lowerRoman"/>
      <w:lvlText w:val="(%5)"/>
      <w:lvlJc w:val="left"/>
      <w:pPr>
        <w:tabs>
          <w:tab w:val="num" w:pos="3600"/>
        </w:tabs>
        <w:ind w:left="3600" w:hanging="715"/>
      </w:pPr>
      <w:rPr>
        <w:rFonts w:hint="default"/>
        <w:color w:val="auto"/>
        <w:u w:val="none"/>
      </w:rPr>
    </w:lvl>
    <w:lvl w:ilvl="5">
      <w:start w:val="1"/>
      <w:numFmt w:val="lowerLetter"/>
      <w:lvlText w:val="(%6)"/>
      <w:lvlJc w:val="left"/>
      <w:pPr>
        <w:tabs>
          <w:tab w:val="num" w:pos="4325"/>
        </w:tabs>
        <w:ind w:left="4325" w:hanging="720"/>
      </w:pPr>
      <w:rPr>
        <w:rFonts w:hint="default"/>
        <w:color w:val="auto"/>
        <w:u w:val="none"/>
      </w:rPr>
    </w:lvl>
    <w:lvl w:ilvl="6">
      <w:start w:val="1"/>
      <w:numFmt w:val="upperRoman"/>
      <w:lvlText w:val="(%7)"/>
      <w:lvlJc w:val="left"/>
      <w:pPr>
        <w:tabs>
          <w:tab w:val="num" w:pos="5040"/>
        </w:tabs>
        <w:ind w:left="5040" w:hanging="720"/>
      </w:pPr>
      <w:rPr>
        <w:rFonts w:hint="default"/>
        <w:color w:val="auto"/>
        <w:u w:val="none"/>
      </w:rPr>
    </w:lvl>
    <w:lvl w:ilvl="7">
      <w:start w:val="1"/>
      <w:numFmt w:val="upperLetter"/>
      <w:lvlText w:val="(%8)"/>
      <w:lvlJc w:val="left"/>
      <w:pPr>
        <w:tabs>
          <w:tab w:val="num" w:pos="5760"/>
        </w:tabs>
        <w:ind w:left="5760" w:hanging="720"/>
      </w:pPr>
      <w:rPr>
        <w:rFonts w:hint="default"/>
        <w:color w:val="auto"/>
        <w:u w:val="none"/>
      </w:rPr>
    </w:lvl>
    <w:lvl w:ilvl="8">
      <w:start w:val="1"/>
      <w:numFmt w:val="decimal"/>
      <w:lvlText w:val="(%9)"/>
      <w:lvlJc w:val="left"/>
      <w:pPr>
        <w:tabs>
          <w:tab w:val="num" w:pos="6480"/>
        </w:tabs>
        <w:ind w:left="6480" w:hanging="720"/>
      </w:pPr>
      <w:rPr>
        <w:rFonts w:hint="default"/>
        <w:color w:val="auto"/>
        <w:u w:val="none"/>
      </w:rPr>
    </w:lvl>
  </w:abstractNum>
  <w:abstractNum w:abstractNumId="14">
    <w:nsid w:val="6A4D5830"/>
    <w:multiLevelType w:val="hybridMultilevel"/>
    <w:tmpl w:val="F04E8C4C"/>
    <w:lvl w:ilvl="0" w:tplc="32E61382">
      <w:start w:val="1"/>
      <w:numFmt w:val="bullet"/>
      <w:lvlRestart w:val="0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0D32078"/>
    <w:multiLevelType w:val="multilevel"/>
    <w:tmpl w:val="95B276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3"/>
  </w:num>
  <w:num w:numId="2">
    <w:abstractNumId w:val="13"/>
  </w:num>
  <w:num w:numId="3">
    <w:abstractNumId w:val="13"/>
  </w:num>
  <w:num w:numId="4">
    <w:abstractNumId w:val="13"/>
  </w:num>
  <w:num w:numId="5">
    <w:abstractNumId w:val="13"/>
  </w:num>
  <w:num w:numId="6">
    <w:abstractNumId w:val="13"/>
  </w:num>
  <w:num w:numId="7">
    <w:abstractNumId w:val="13"/>
  </w:num>
  <w:num w:numId="8">
    <w:abstractNumId w:val="13"/>
  </w:num>
  <w:num w:numId="9">
    <w:abstractNumId w:val="13"/>
  </w:num>
  <w:num w:numId="10">
    <w:abstractNumId w:val="9"/>
  </w:num>
  <w:num w:numId="11">
    <w:abstractNumId w:val="9"/>
  </w:num>
  <w:num w:numId="12">
    <w:abstractNumId w:val="13"/>
  </w:num>
  <w:num w:numId="13">
    <w:abstractNumId w:val="13"/>
  </w:num>
  <w:num w:numId="14">
    <w:abstractNumId w:val="13"/>
  </w:num>
  <w:num w:numId="15">
    <w:abstractNumId w:val="13"/>
  </w:num>
  <w:num w:numId="16">
    <w:abstractNumId w:val="13"/>
  </w:num>
  <w:num w:numId="17">
    <w:abstractNumId w:val="13"/>
  </w:num>
  <w:num w:numId="18">
    <w:abstractNumId w:val="13"/>
  </w:num>
  <w:num w:numId="19">
    <w:abstractNumId w:val="13"/>
  </w:num>
  <w:num w:numId="20">
    <w:abstractNumId w:val="13"/>
  </w:num>
  <w:num w:numId="21">
    <w:abstractNumId w:val="10"/>
  </w:num>
  <w:num w:numId="22">
    <w:abstractNumId w:val="7"/>
  </w:num>
  <w:num w:numId="23">
    <w:abstractNumId w:val="6"/>
  </w:num>
  <w:num w:numId="24">
    <w:abstractNumId w:val="5"/>
  </w:num>
  <w:num w:numId="25">
    <w:abstractNumId w:val="4"/>
  </w:num>
  <w:num w:numId="26">
    <w:abstractNumId w:val="8"/>
  </w:num>
  <w:num w:numId="27">
    <w:abstractNumId w:val="3"/>
  </w:num>
  <w:num w:numId="28">
    <w:abstractNumId w:val="2"/>
  </w:num>
  <w:num w:numId="29">
    <w:abstractNumId w:val="1"/>
  </w:num>
  <w:num w:numId="30">
    <w:abstractNumId w:val="0"/>
  </w:num>
  <w:num w:numId="31">
    <w:abstractNumId w:val="14"/>
  </w:num>
  <w:num w:numId="32">
    <w:abstractNumId w:val="11"/>
  </w:num>
  <w:num w:numId="33">
    <w:abstractNumId w:val="12"/>
  </w:num>
  <w:num w:numId="34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/>
  <w:defaultTabStop w:val="720"/>
  <w:drawingGridHorizontalSpacing w:val="120"/>
  <w:displayHorizontalDrawingGridEvery w:val="2"/>
  <w:characterSpacingControl w:val="doNotCompress"/>
  <w:hdrShapeDefaults>
    <o:shapedefaults v:ext="edit" spidmax="16389"/>
    <o:shapelayout v:ext="edit">
      <o:idmap v:ext="edit" data="16"/>
    </o:shapelayout>
  </w:hdrShapeDefaults>
  <w:footnotePr>
    <w:footnote w:id="-1"/>
    <w:footnote w:id="0"/>
    <w:footnote w:id="1"/>
  </w:footnotePr>
  <w:endnotePr>
    <w:endnote w:id="-1"/>
    <w:endnote w:id="0"/>
  </w:endnotePr>
  <w:compat/>
  <w:docVars>
    <w:docVar w:name="DefaultNumberOfLevelsInTOCForThisScheme" w:val="3"/>
    <w:docVar w:name="LastSchemeChoice" w:val="AP Default Numbering Scheme"/>
    <w:docVar w:name="LastSchemeUniqueID" w:val="131"/>
    <w:docVar w:name="NumberingSchemeHasCustomTOCAttached" w:val="True"/>
    <w:docVar w:name="Option0True" w:val="False"/>
    <w:docVar w:name="Option1True" w:val="False"/>
    <w:docVar w:name="Option2True" w:val="False"/>
    <w:docVar w:name="Option3True" w:val="False"/>
    <w:docVar w:name="Option4True" w:val="False"/>
    <w:docVar w:name="TOCSchemeID" w:val="4"/>
  </w:docVar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6389"/>
    <o:shapelayout v:ext="edit">
      <o:idmap v:ext="edit" data="1"/>
    </o:shapelayout>
  </w:shapeDefaults>
  <w:doNotEmbedSmartTags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List Bullet" w:uiPriority="0"/>
    <w:lsdException w:name="Title" w:semiHidden="0" w:uiPriority="0" w:unhideWhenUsed="0" w:qFormat="1"/>
    <w:lsdException w:name="Closing" w:uiPriority="0"/>
    <w:lsdException w:name="Signature" w:uiPriority="0" w:qFormat="1"/>
    <w:lsdException w:name="Default Paragraph Font" w:uiPriority="1"/>
    <w:lsdException w:name="Body Text" w:uiPriority="0" w:qFormat="1"/>
    <w:lsdException w:name="Message Header" w:uiPriority="0"/>
    <w:lsdException w:name="Subtitle" w:uiPriority="0" w:qFormat="1"/>
    <w:lsdException w:name="Date" w:semiHidden="0" w:uiPriority="0" w:unhideWhenUsed="0"/>
    <w:lsdException w:name="Body Text 2" w:uiPriority="0" w:qFormat="1"/>
    <w:lsdException w:name="Block Text" w:uiPriority="0" w:qFormat="1"/>
    <w:lsdException w:name="Strong" w:semiHidden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uiPriority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/>
  </w:latentStyles>
  <w:style w:type="paragraph" w:default="1" w:styleId="Normal">
    <w:name w:val="Normal"/>
    <w:qFormat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HeadingBase"/>
    <w:next w:val="Normal"/>
    <w:link w:val="Heading1Char"/>
    <w:qFormat/>
    <w:pPr>
      <w:numPr>
        <w:numId w:val="21"/>
      </w:numPr>
      <w:tabs>
        <w:tab w:val="clear" w:pos="720"/>
      </w:tabs>
      <w:spacing w:after="240"/>
      <w:outlineLvl w:val="0"/>
    </w:pPr>
    <w:rPr>
      <w:rFonts w:cs="Arial"/>
      <w:bCs/>
      <w:color w:val="000000"/>
    </w:rPr>
  </w:style>
  <w:style w:type="paragraph" w:styleId="Heading2">
    <w:name w:val="heading 2"/>
    <w:basedOn w:val="HeadingBase"/>
    <w:next w:val="Normal"/>
    <w:link w:val="Heading2Char"/>
    <w:qFormat/>
    <w:pPr>
      <w:numPr>
        <w:ilvl w:val="1"/>
        <w:numId w:val="21"/>
      </w:numPr>
      <w:spacing w:after="240"/>
      <w:outlineLvl w:val="1"/>
    </w:pPr>
    <w:rPr>
      <w:rFonts w:cs="Arial"/>
      <w:bCs/>
      <w:iCs/>
      <w:color w:val="000000"/>
      <w:szCs w:val="28"/>
    </w:rPr>
  </w:style>
  <w:style w:type="paragraph" w:styleId="Heading3">
    <w:name w:val="heading 3"/>
    <w:basedOn w:val="HeadingBase"/>
    <w:next w:val="Normal"/>
    <w:link w:val="Heading3Char"/>
    <w:qFormat/>
    <w:pPr>
      <w:numPr>
        <w:ilvl w:val="2"/>
        <w:numId w:val="21"/>
      </w:numPr>
      <w:spacing w:after="240"/>
      <w:outlineLvl w:val="2"/>
    </w:pPr>
    <w:rPr>
      <w:rFonts w:cs="Arial"/>
      <w:bCs/>
      <w:color w:val="000000"/>
    </w:rPr>
  </w:style>
  <w:style w:type="paragraph" w:styleId="Heading4">
    <w:name w:val="heading 4"/>
    <w:basedOn w:val="HeadingBase"/>
    <w:next w:val="Normal"/>
    <w:link w:val="Heading4Char"/>
    <w:qFormat/>
    <w:pPr>
      <w:numPr>
        <w:ilvl w:val="3"/>
        <w:numId w:val="21"/>
      </w:numPr>
      <w:spacing w:after="240"/>
      <w:outlineLvl w:val="3"/>
    </w:pPr>
    <w:rPr>
      <w:bCs/>
      <w:color w:val="000000"/>
      <w:szCs w:val="28"/>
    </w:rPr>
  </w:style>
  <w:style w:type="paragraph" w:styleId="Heading5">
    <w:name w:val="heading 5"/>
    <w:basedOn w:val="HeadingBase"/>
    <w:next w:val="Normal"/>
    <w:link w:val="Heading5Char"/>
    <w:qFormat/>
    <w:pPr>
      <w:numPr>
        <w:ilvl w:val="4"/>
        <w:numId w:val="21"/>
      </w:numPr>
      <w:spacing w:after="240"/>
      <w:outlineLvl w:val="4"/>
    </w:pPr>
    <w:rPr>
      <w:bCs/>
      <w:iCs/>
      <w:color w:val="000000"/>
      <w:szCs w:val="26"/>
    </w:rPr>
  </w:style>
  <w:style w:type="paragraph" w:styleId="Heading6">
    <w:name w:val="heading 6"/>
    <w:basedOn w:val="HeadingBase"/>
    <w:next w:val="Normal"/>
    <w:link w:val="Heading6Char"/>
    <w:qFormat/>
    <w:pPr>
      <w:numPr>
        <w:ilvl w:val="5"/>
        <w:numId w:val="21"/>
      </w:numPr>
      <w:spacing w:after="240"/>
      <w:outlineLvl w:val="5"/>
    </w:pPr>
    <w:rPr>
      <w:bCs/>
      <w:color w:val="000000"/>
    </w:rPr>
  </w:style>
  <w:style w:type="paragraph" w:styleId="Heading7">
    <w:name w:val="heading 7"/>
    <w:basedOn w:val="HeadingBase"/>
    <w:next w:val="Normal"/>
    <w:link w:val="Heading7Char"/>
    <w:qFormat/>
    <w:pPr>
      <w:numPr>
        <w:ilvl w:val="6"/>
        <w:numId w:val="21"/>
      </w:numPr>
      <w:spacing w:after="240"/>
      <w:outlineLvl w:val="6"/>
    </w:pPr>
    <w:rPr>
      <w:color w:val="000000"/>
    </w:rPr>
  </w:style>
  <w:style w:type="paragraph" w:styleId="Heading8">
    <w:name w:val="heading 8"/>
    <w:basedOn w:val="HeadingBase"/>
    <w:next w:val="Normal"/>
    <w:link w:val="Heading8Char"/>
    <w:qFormat/>
    <w:pPr>
      <w:numPr>
        <w:ilvl w:val="7"/>
        <w:numId w:val="21"/>
      </w:numPr>
      <w:spacing w:after="240"/>
      <w:outlineLvl w:val="7"/>
    </w:pPr>
    <w:rPr>
      <w:iCs/>
      <w:color w:val="000000"/>
    </w:rPr>
  </w:style>
  <w:style w:type="paragraph" w:styleId="Heading9">
    <w:name w:val="heading 9"/>
    <w:basedOn w:val="HeadingBase"/>
    <w:next w:val="Normal"/>
    <w:link w:val="Heading9Char"/>
    <w:qFormat/>
    <w:pPr>
      <w:numPr>
        <w:ilvl w:val="8"/>
        <w:numId w:val="21"/>
      </w:numPr>
      <w:spacing w:after="240"/>
      <w:outlineLvl w:val="8"/>
    </w:pPr>
    <w:rPr>
      <w:rFonts w:cs="Arial"/>
      <w:color w:val="000000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Pr>
      <w:rFonts w:ascii="Times New Roman" w:eastAsia="Times New Roman" w:hAnsi="Times New Roman" w:cs="Arial"/>
      <w:bCs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Pr>
      <w:rFonts w:ascii="Times New Roman" w:hAnsi="Times New Roman"/>
      <w:sz w:val="24"/>
    </w:rPr>
  </w:style>
  <w:style w:type="paragraph" w:styleId="BlockText">
    <w:name w:val="Block Text"/>
    <w:basedOn w:val="Normal"/>
    <w:qFormat/>
    <w:pPr>
      <w:spacing w:after="240"/>
      <w:ind w:left="1440" w:right="1440"/>
    </w:pPr>
  </w:style>
  <w:style w:type="paragraph" w:styleId="BodyText2">
    <w:name w:val="Body Text 2"/>
    <w:basedOn w:val="Normal"/>
    <w:link w:val="BodyText2Char"/>
    <w:qFormat/>
    <w:pPr>
      <w:spacing w:line="480" w:lineRule="auto"/>
    </w:pPr>
  </w:style>
  <w:style w:type="character" w:customStyle="1" w:styleId="BodyText2Char">
    <w:name w:val="Body Text 2 Char"/>
    <w:basedOn w:val="DefaultParagraphFont"/>
    <w:link w:val="BodyText2"/>
    <w:rPr>
      <w:rFonts w:ascii="Times New Roman" w:eastAsia="Times New Roman" w:hAnsi="Times New Roman" w:cs="Times New Roman"/>
      <w:sz w:val="24"/>
      <w:szCs w:val="24"/>
    </w:rPr>
  </w:style>
  <w:style w:type="paragraph" w:styleId="BodyText">
    <w:name w:val="Body Text"/>
    <w:basedOn w:val="Normal"/>
    <w:link w:val="BodyTextChar"/>
    <w:qFormat/>
    <w:pPr>
      <w:spacing w:after="240"/>
    </w:pPr>
  </w:style>
  <w:style w:type="character" w:customStyle="1" w:styleId="BodyTextChar">
    <w:name w:val="Body Text Char"/>
    <w:basedOn w:val="DefaultParagraphFont"/>
    <w:link w:val="BodyText"/>
    <w:rPr>
      <w:rFonts w:ascii="Times New Roman" w:eastAsia="Times New Roman" w:hAnsi="Times New Roman" w:cs="Times New Roman"/>
      <w:sz w:val="24"/>
      <w:szCs w:val="24"/>
    </w:rPr>
  </w:style>
  <w:style w:type="character" w:customStyle="1" w:styleId="DocID">
    <w:name w:val="DocID"/>
    <w:basedOn w:val="DefaultParagraphFont"/>
    <w:rPr>
      <w:sz w:val="16"/>
    </w:rPr>
  </w:style>
  <w:style w:type="character" w:styleId="Emphasis">
    <w:name w:val="Emphasis"/>
    <w:basedOn w:val="DefaultParagraphFont"/>
    <w:unhideWhenUsed/>
    <w:qFormat/>
    <w:rPr>
      <w:i/>
      <w:iCs/>
    </w:rPr>
  </w:style>
  <w:style w:type="character" w:customStyle="1" w:styleId="Heading2Char">
    <w:name w:val="Heading 2 Char"/>
    <w:basedOn w:val="DefaultParagraphFont"/>
    <w:link w:val="Heading2"/>
    <w:rPr>
      <w:rFonts w:ascii="Times New Roman" w:eastAsia="Times New Roman" w:hAnsi="Times New Roman" w:cs="Arial"/>
      <w:bCs/>
      <w:iCs/>
      <w:color w:val="000000"/>
      <w:sz w:val="24"/>
      <w:szCs w:val="28"/>
    </w:rPr>
  </w:style>
  <w:style w:type="character" w:customStyle="1" w:styleId="Heading3Char">
    <w:name w:val="Heading 3 Char"/>
    <w:basedOn w:val="DefaultParagraphFont"/>
    <w:link w:val="Heading3"/>
    <w:rPr>
      <w:rFonts w:ascii="Times New Roman" w:eastAsia="Times New Roman" w:hAnsi="Times New Roman" w:cs="Arial"/>
      <w:bCs/>
      <w:color w:val="000000"/>
      <w:sz w:val="24"/>
      <w:szCs w:val="24"/>
    </w:rPr>
  </w:style>
  <w:style w:type="character" w:customStyle="1" w:styleId="Heading4Char">
    <w:name w:val="Heading 4 Char"/>
    <w:basedOn w:val="DefaultParagraphFont"/>
    <w:link w:val="Heading4"/>
    <w:rPr>
      <w:rFonts w:ascii="Times New Roman" w:eastAsia="Times New Roman" w:hAnsi="Times New Roman" w:cs="Times New Roman"/>
      <w:bCs/>
      <w:color w:val="000000"/>
      <w:sz w:val="24"/>
      <w:szCs w:val="28"/>
    </w:rPr>
  </w:style>
  <w:style w:type="character" w:customStyle="1" w:styleId="Heading5Char">
    <w:name w:val="Heading 5 Char"/>
    <w:basedOn w:val="DefaultParagraphFont"/>
    <w:link w:val="Heading5"/>
    <w:rPr>
      <w:rFonts w:ascii="Times New Roman" w:eastAsia="Times New Roman" w:hAnsi="Times New Roman" w:cs="Times New Roman"/>
      <w:bCs/>
      <w:iCs/>
      <w:color w:val="000000"/>
      <w:sz w:val="24"/>
      <w:szCs w:val="26"/>
    </w:rPr>
  </w:style>
  <w:style w:type="character" w:customStyle="1" w:styleId="Heading6Char">
    <w:name w:val="Heading 6 Char"/>
    <w:basedOn w:val="DefaultParagraphFont"/>
    <w:link w:val="Heading6"/>
    <w:rPr>
      <w:rFonts w:ascii="Times New Roman" w:eastAsia="Times New Roman" w:hAnsi="Times New Roman" w:cs="Times New Roman"/>
      <w:bCs/>
      <w:color w:val="000000"/>
      <w:sz w:val="24"/>
      <w:szCs w:val="24"/>
    </w:rPr>
  </w:style>
  <w:style w:type="character" w:customStyle="1" w:styleId="Heading7Char">
    <w:name w:val="Heading 7 Char"/>
    <w:basedOn w:val="DefaultParagraphFont"/>
    <w:link w:val="Heading7"/>
    <w:rPr>
      <w:rFonts w:ascii="Times New Roman" w:eastAsia="Times New Roman" w:hAnsi="Times New Roman" w:cs="Times New Roman"/>
      <w:color w:val="000000"/>
      <w:sz w:val="24"/>
      <w:szCs w:val="24"/>
    </w:rPr>
  </w:style>
  <w:style w:type="character" w:customStyle="1" w:styleId="Heading8Char">
    <w:name w:val="Heading 8 Char"/>
    <w:basedOn w:val="DefaultParagraphFont"/>
    <w:link w:val="Heading8"/>
    <w:rPr>
      <w:rFonts w:ascii="Times New Roman" w:eastAsia="Times New Roman" w:hAnsi="Times New Roman" w:cs="Times New Roman"/>
      <w:iCs/>
      <w:color w:val="000000"/>
      <w:sz w:val="24"/>
      <w:szCs w:val="24"/>
    </w:rPr>
  </w:style>
  <w:style w:type="character" w:customStyle="1" w:styleId="Heading9Char">
    <w:name w:val="Heading 9 Char"/>
    <w:basedOn w:val="DefaultParagraphFont"/>
    <w:link w:val="Heading9"/>
    <w:rPr>
      <w:rFonts w:ascii="Times New Roman" w:eastAsia="Times New Roman" w:hAnsi="Times New Roman" w:cs="Arial"/>
      <w:color w:val="000000"/>
      <w:sz w:val="24"/>
    </w:rPr>
  </w:style>
  <w:style w:type="paragraph" w:customStyle="1" w:styleId="HeadingBase">
    <w:name w:val="Heading Base"/>
    <w:basedOn w:val="Normal"/>
    <w:next w:val="Normal"/>
  </w:style>
  <w:style w:type="paragraph" w:styleId="ListBullet">
    <w:name w:val="List Bullet"/>
    <w:basedOn w:val="Normal"/>
    <w:pPr>
      <w:numPr>
        <w:numId w:val="11"/>
      </w:numPr>
    </w:pPr>
  </w:style>
  <w:style w:type="paragraph" w:customStyle="1" w:styleId="OutlineBodyText">
    <w:name w:val="Outline Body Text"/>
    <w:basedOn w:val="Normal"/>
    <w:qFormat/>
    <w:pPr>
      <w:spacing w:after="240"/>
      <w:ind w:firstLine="720"/>
    </w:pPr>
    <w:rPr>
      <w:szCs w:val="20"/>
    </w:rPr>
  </w:style>
  <w:style w:type="paragraph" w:styleId="Signature">
    <w:name w:val="Signature"/>
    <w:basedOn w:val="Normal"/>
    <w:link w:val="SignatureChar"/>
    <w:qFormat/>
    <w:pPr>
      <w:ind w:left="4320"/>
    </w:pPr>
  </w:style>
  <w:style w:type="character" w:customStyle="1" w:styleId="SignatureChar">
    <w:name w:val="Signature Char"/>
    <w:basedOn w:val="DefaultParagraphFont"/>
    <w:link w:val="Signature"/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99"/>
    <w:unhideWhenUsed/>
    <w:qFormat/>
    <w:rPr>
      <w:b/>
      <w:bCs/>
    </w:rPr>
  </w:style>
  <w:style w:type="paragraph" w:styleId="Title">
    <w:name w:val="Title"/>
    <w:basedOn w:val="Normal"/>
    <w:link w:val="TitleChar"/>
    <w:unhideWhenUsed/>
    <w:qFormat/>
    <w:pPr>
      <w:keepNext/>
      <w:spacing w:after="240"/>
      <w:jc w:val="center"/>
      <w:outlineLvl w:val="0"/>
    </w:pPr>
    <w:rPr>
      <w:rFonts w:cs="Arial"/>
      <w:b/>
      <w:bCs/>
      <w:kern w:val="28"/>
      <w:szCs w:val="32"/>
    </w:rPr>
  </w:style>
  <w:style w:type="character" w:customStyle="1" w:styleId="TitleChar">
    <w:name w:val="Title Char"/>
    <w:basedOn w:val="DefaultParagraphFont"/>
    <w:link w:val="Title"/>
    <w:rPr>
      <w:rFonts w:ascii="Times New Roman" w:eastAsia="Times New Roman" w:hAnsi="Times New Roman" w:cs="Arial"/>
      <w:b/>
      <w:bCs/>
      <w:kern w:val="28"/>
      <w:sz w:val="24"/>
      <w:szCs w:val="32"/>
    </w:rPr>
  </w:style>
  <w:style w:type="paragraph" w:styleId="Caption">
    <w:name w:val="caption"/>
    <w:basedOn w:val="Normal"/>
    <w:next w:val="Normal"/>
    <w:qFormat/>
    <w:rPr>
      <w:b/>
      <w:bCs/>
      <w:sz w:val="20"/>
      <w:szCs w:val="20"/>
    </w:rPr>
  </w:style>
  <w:style w:type="paragraph" w:styleId="Closing">
    <w:name w:val="Closing"/>
    <w:basedOn w:val="Normal"/>
    <w:link w:val="ClosingChar"/>
    <w:pPr>
      <w:ind w:left="4320"/>
    </w:pPr>
  </w:style>
  <w:style w:type="character" w:customStyle="1" w:styleId="ClosingChar">
    <w:name w:val="Closing Char"/>
    <w:basedOn w:val="DefaultParagraphFont"/>
    <w:link w:val="Closing"/>
    <w:rPr>
      <w:rFonts w:ascii="Times New Roman" w:eastAsia="Times New Roman" w:hAnsi="Times New Roman" w:cs="Times New Roman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pPr>
      <w:tabs>
        <w:tab w:val="left" w:pos="446"/>
      </w:tabs>
      <w:spacing w:after="120" w:line="240" w:lineRule="exact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Pr>
      <w:rFonts w:ascii="Times New Roman" w:eastAsia="Times New Roman" w:hAnsi="Times New Roman" w:cs="Times New Roman"/>
      <w:sz w:val="24"/>
      <w:szCs w:val="20"/>
    </w:rPr>
  </w:style>
  <w:style w:type="paragraph" w:styleId="MessageHeader">
    <w:name w:val="Message Header"/>
    <w:basedOn w:val="Normal"/>
    <w:link w:val="MessageHeaderChar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Arial" w:hAnsi="Arial" w:cs="Arial"/>
    </w:rPr>
  </w:style>
  <w:style w:type="character" w:customStyle="1" w:styleId="MessageHeaderChar">
    <w:name w:val="Message Header Char"/>
    <w:basedOn w:val="DefaultParagraphFont"/>
    <w:link w:val="MessageHeader"/>
    <w:rPr>
      <w:rFonts w:ascii="Arial" w:eastAsia="Times New Roman" w:hAnsi="Arial" w:cs="Arial"/>
      <w:sz w:val="24"/>
      <w:szCs w:val="24"/>
      <w:shd w:val="pct20" w:color="auto" w:fill="auto"/>
    </w:rPr>
  </w:style>
  <w:style w:type="paragraph" w:styleId="Subtitle">
    <w:name w:val="Subtitle"/>
    <w:basedOn w:val="Normal"/>
    <w:link w:val="SubtitleChar"/>
    <w:qFormat/>
    <w:pPr>
      <w:spacing w:after="60"/>
      <w:jc w:val="center"/>
      <w:outlineLvl w:val="1"/>
    </w:pPr>
    <w:rPr>
      <w:rFonts w:ascii="Arial" w:hAnsi="Arial" w:cs="Arial"/>
    </w:rPr>
  </w:style>
  <w:style w:type="character" w:customStyle="1" w:styleId="SubtitleChar">
    <w:name w:val="Subtitle Char"/>
    <w:basedOn w:val="DefaultParagraphFont"/>
    <w:link w:val="Subtitle"/>
    <w:rPr>
      <w:rFonts w:ascii="Arial" w:eastAsia="Times New Roman" w:hAnsi="Arial" w:cs="Arial"/>
      <w:sz w:val="24"/>
      <w:szCs w:val="24"/>
    </w:rPr>
  </w:style>
  <w:style w:type="paragraph" w:customStyle="1" w:styleId="OutlineBodyText2">
    <w:name w:val="Outline Body Text 2"/>
    <w:basedOn w:val="Normal"/>
    <w:qFormat/>
    <w:pPr>
      <w:spacing w:line="480" w:lineRule="auto"/>
      <w:ind w:firstLine="720"/>
    </w:pPr>
  </w:style>
  <w:style w:type="paragraph" w:customStyle="1" w:styleId="HeadingBody1">
    <w:name w:val="HeadingBody 1"/>
    <w:basedOn w:val="Normal"/>
    <w:next w:val="Normal"/>
    <w:link w:val="HeadingBody1Char"/>
    <w:pPr>
      <w:spacing w:after="240"/>
      <w:ind w:left="720" w:hanging="720"/>
    </w:pPr>
    <w:rPr>
      <w:bCs/>
      <w:iCs/>
      <w:color w:val="000000"/>
      <w:szCs w:val="20"/>
    </w:rPr>
  </w:style>
  <w:style w:type="character" w:customStyle="1" w:styleId="HeadingBody1Char">
    <w:name w:val="HeadingBody 1 Char"/>
    <w:basedOn w:val="Heading2Char"/>
    <w:link w:val="HeadingBody1"/>
    <w:rPr>
      <w:rFonts w:cs="Times New Roman"/>
      <w:szCs w:val="20"/>
    </w:rPr>
  </w:style>
  <w:style w:type="paragraph" w:customStyle="1" w:styleId="HeadingBody2">
    <w:name w:val="HeadingBody 2"/>
    <w:basedOn w:val="Normal"/>
    <w:next w:val="Normal"/>
    <w:link w:val="HeadingBody2Char"/>
    <w:pPr>
      <w:spacing w:after="240"/>
      <w:ind w:left="1440" w:hanging="720"/>
    </w:pPr>
    <w:rPr>
      <w:bCs/>
      <w:iCs/>
      <w:color w:val="000000"/>
    </w:rPr>
  </w:style>
  <w:style w:type="character" w:customStyle="1" w:styleId="HeadingBody2Char">
    <w:name w:val="HeadingBody 2 Char"/>
    <w:basedOn w:val="Heading2Char"/>
    <w:link w:val="HeadingBody2"/>
    <w:rPr>
      <w:rFonts w:cs="Times New Roman"/>
      <w:szCs w:val="24"/>
    </w:rPr>
  </w:style>
  <w:style w:type="paragraph" w:customStyle="1" w:styleId="HeadingBody3">
    <w:name w:val="HeadingBody 3"/>
    <w:basedOn w:val="Normal"/>
    <w:next w:val="Normal"/>
    <w:link w:val="HeadingBody3Char"/>
    <w:pPr>
      <w:spacing w:after="240"/>
      <w:ind w:left="2160" w:hanging="720"/>
    </w:pPr>
    <w:rPr>
      <w:bCs/>
      <w:iCs/>
      <w:color w:val="000000"/>
    </w:rPr>
  </w:style>
  <w:style w:type="character" w:customStyle="1" w:styleId="HeadingBody3Char">
    <w:name w:val="HeadingBody 3 Char"/>
    <w:basedOn w:val="Heading2Char"/>
    <w:link w:val="HeadingBody3"/>
    <w:rPr>
      <w:rFonts w:cs="Times New Roman"/>
      <w:szCs w:val="24"/>
    </w:rPr>
  </w:style>
  <w:style w:type="paragraph" w:customStyle="1" w:styleId="HeadingBody4">
    <w:name w:val="HeadingBody 4"/>
    <w:basedOn w:val="Normal"/>
    <w:next w:val="Normal"/>
    <w:link w:val="HeadingBody4Char"/>
    <w:pPr>
      <w:spacing w:after="240"/>
      <w:ind w:left="2880" w:hanging="720"/>
    </w:pPr>
    <w:rPr>
      <w:bCs/>
      <w:iCs/>
      <w:color w:val="000000"/>
    </w:rPr>
  </w:style>
  <w:style w:type="character" w:customStyle="1" w:styleId="HeadingBody4Char">
    <w:name w:val="HeadingBody 4 Char"/>
    <w:basedOn w:val="Heading2Char"/>
    <w:link w:val="HeadingBody4"/>
    <w:rPr>
      <w:rFonts w:cs="Times New Roman"/>
      <w:szCs w:val="24"/>
    </w:rPr>
  </w:style>
  <w:style w:type="paragraph" w:customStyle="1" w:styleId="HeadingBody5">
    <w:name w:val="HeadingBody 5"/>
    <w:basedOn w:val="Normal"/>
    <w:next w:val="Normal"/>
    <w:link w:val="HeadingBody5Char"/>
    <w:pPr>
      <w:spacing w:after="240"/>
      <w:ind w:left="3600" w:hanging="715"/>
    </w:pPr>
    <w:rPr>
      <w:bCs/>
      <w:iCs/>
      <w:color w:val="000000"/>
    </w:rPr>
  </w:style>
  <w:style w:type="character" w:customStyle="1" w:styleId="HeadingBody5Char">
    <w:name w:val="HeadingBody 5 Char"/>
    <w:basedOn w:val="Heading2Char"/>
    <w:link w:val="HeadingBody5"/>
    <w:rPr>
      <w:rFonts w:cs="Times New Roman"/>
      <w:szCs w:val="24"/>
    </w:rPr>
  </w:style>
  <w:style w:type="paragraph" w:customStyle="1" w:styleId="HeadingBody6">
    <w:name w:val="HeadingBody 6"/>
    <w:basedOn w:val="Normal"/>
    <w:next w:val="Normal"/>
    <w:link w:val="HeadingBody6Char"/>
    <w:pPr>
      <w:spacing w:after="240"/>
      <w:ind w:left="4325" w:hanging="720"/>
    </w:pPr>
    <w:rPr>
      <w:bCs/>
      <w:iCs/>
      <w:color w:val="000000"/>
    </w:rPr>
  </w:style>
  <w:style w:type="character" w:customStyle="1" w:styleId="HeadingBody6Char">
    <w:name w:val="HeadingBody 6 Char"/>
    <w:basedOn w:val="Heading2Char"/>
    <w:link w:val="HeadingBody6"/>
    <w:rPr>
      <w:rFonts w:cs="Times New Roman"/>
      <w:szCs w:val="24"/>
    </w:rPr>
  </w:style>
  <w:style w:type="paragraph" w:customStyle="1" w:styleId="HeadingBody7">
    <w:name w:val="HeadingBody 7"/>
    <w:basedOn w:val="Normal"/>
    <w:next w:val="Normal"/>
    <w:link w:val="HeadingBody7Char"/>
    <w:pPr>
      <w:spacing w:after="240"/>
      <w:ind w:left="5040" w:hanging="720"/>
    </w:pPr>
    <w:rPr>
      <w:bCs/>
      <w:iCs/>
      <w:color w:val="000000"/>
    </w:rPr>
  </w:style>
  <w:style w:type="character" w:customStyle="1" w:styleId="HeadingBody7Char">
    <w:name w:val="HeadingBody 7 Char"/>
    <w:basedOn w:val="Heading2Char"/>
    <w:link w:val="HeadingBody7"/>
    <w:rPr>
      <w:rFonts w:cs="Times New Roman"/>
      <w:szCs w:val="24"/>
    </w:rPr>
  </w:style>
  <w:style w:type="paragraph" w:customStyle="1" w:styleId="HeadingBody8">
    <w:name w:val="HeadingBody 8"/>
    <w:basedOn w:val="Normal"/>
    <w:next w:val="Normal"/>
    <w:link w:val="HeadingBody8Char"/>
    <w:pPr>
      <w:spacing w:after="240"/>
      <w:ind w:left="5760" w:hanging="720"/>
    </w:pPr>
    <w:rPr>
      <w:bCs/>
      <w:iCs/>
      <w:color w:val="000000"/>
    </w:rPr>
  </w:style>
  <w:style w:type="character" w:customStyle="1" w:styleId="HeadingBody8Char">
    <w:name w:val="HeadingBody 8 Char"/>
    <w:basedOn w:val="Heading2Char"/>
    <w:link w:val="HeadingBody8"/>
    <w:rPr>
      <w:rFonts w:cs="Times New Roman"/>
      <w:szCs w:val="24"/>
    </w:rPr>
  </w:style>
  <w:style w:type="paragraph" w:customStyle="1" w:styleId="HeadingBody9">
    <w:name w:val="HeadingBody 9"/>
    <w:basedOn w:val="Normal"/>
    <w:next w:val="Normal"/>
    <w:link w:val="HeadingBody9Char"/>
    <w:pPr>
      <w:spacing w:after="240"/>
      <w:ind w:left="6480" w:hanging="720"/>
    </w:pPr>
    <w:rPr>
      <w:bCs/>
      <w:iCs/>
      <w:color w:val="000000"/>
    </w:rPr>
  </w:style>
  <w:style w:type="character" w:customStyle="1" w:styleId="HeadingBody9Char">
    <w:name w:val="HeadingBody 9 Char"/>
    <w:basedOn w:val="Heading2Char"/>
    <w:link w:val="HeadingBody9"/>
    <w:rPr>
      <w:rFonts w:cs="Times New Roman"/>
      <w:szCs w:val="24"/>
    </w:rPr>
  </w:style>
  <w:style w:type="paragraph" w:styleId="TOCHeading">
    <w:name w:val="TOC Heading"/>
    <w:basedOn w:val="Heading1"/>
    <w:next w:val="Normal"/>
    <w:uiPriority w:val="39"/>
    <w:semiHidden/>
    <w:unhideWhenUsed/>
    <w:pPr>
      <w:keepNext/>
      <w:keepLines/>
      <w:numPr>
        <w:numId w:val="0"/>
      </w:numPr>
      <w:jc w:val="center"/>
      <w:outlineLvl w:val="9"/>
    </w:pPr>
    <w:rPr>
      <w:rFonts w:eastAsiaTheme="majorEastAsia" w:cstheme="majorBidi"/>
      <w:b/>
      <w:caps/>
      <w:szCs w:val="28"/>
      <w:u w:val="single"/>
    </w:rPr>
  </w:style>
  <w:style w:type="paragraph" w:customStyle="1" w:styleId="TOCPage">
    <w:name w:val="TOC Page"/>
    <w:basedOn w:val="Normal"/>
    <w:next w:val="Normal"/>
    <w:link w:val="TOCPageChar"/>
    <w:semiHidden/>
    <w:unhideWhenUsed/>
    <w:pPr>
      <w:spacing w:after="240"/>
      <w:jc w:val="right"/>
    </w:pPr>
    <w:rPr>
      <w:b/>
      <w:u w:val="single"/>
    </w:rPr>
  </w:style>
  <w:style w:type="character" w:customStyle="1" w:styleId="TOCPageChar">
    <w:name w:val="TOC Page Char"/>
    <w:basedOn w:val="DefaultParagraphFont"/>
    <w:link w:val="TOCPage"/>
    <w:semiHidden/>
    <w:rPr>
      <w:rFonts w:ascii="Times New Roman" w:hAnsi="Times New Roman" w:cs="Times New Roman"/>
      <w:b/>
      <w:sz w:val="24"/>
      <w:u w:val="single"/>
    </w:rPr>
  </w:style>
  <w:style w:type="paragraph" w:styleId="BodyText3">
    <w:name w:val="Body Text 3"/>
    <w:basedOn w:val="Normal"/>
    <w:next w:val="Normal"/>
    <w:link w:val="BodyText3Char"/>
    <w:uiPriority w:val="99"/>
    <w:semiHidden/>
    <w:unhideWhenUsed/>
    <w:pPr>
      <w:spacing w:after="240"/>
      <w:ind w:left="2160" w:hanging="7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Pr>
      <w:rFonts w:ascii="Times New Roman" w:hAnsi="Times New Roman"/>
      <w:sz w:val="24"/>
      <w:szCs w:val="16"/>
    </w:rPr>
  </w:style>
  <w:style w:type="character" w:styleId="FootnoteReference">
    <w:name w:val="footnote reference"/>
    <w:basedOn w:val="DefaultParagraphFont"/>
    <w:uiPriority w:val="99"/>
    <w:semiHidden/>
    <w:unhideWhenUsed/>
    <w:rPr>
      <w:vertAlign w:val="superscript"/>
    </w:rPr>
  </w:style>
  <w:style w:type="paragraph" w:styleId="BalloonText">
    <w:name w:val="Balloon Text"/>
    <w:basedOn w:val="Normal"/>
    <w:link w:val="BalloonTextChar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sz w:val="16"/>
      <w:szCs w:val="16"/>
    </w:rPr>
  </w:style>
  <w:style w:type="paragraph" w:styleId="Bibliography">
    <w:name w:val="Bibliography"/>
    <w:basedOn w:val="Normal"/>
    <w:next w:val="Normal"/>
    <w:uiPriority w:val="37"/>
    <w:semiHidden/>
    <w:unhideWhenUsed/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pPr>
      <w:spacing w:after="0"/>
      <w:ind w:firstLine="360"/>
    </w:pPr>
    <w:rPr>
      <w:rFonts w:eastAsiaTheme="minorHAnsi" w:cstheme="minorBidi"/>
      <w:szCs w:val="22"/>
    </w:r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</w:style>
  <w:style w:type="paragraph" w:styleId="BodyTextIndent">
    <w:name w:val="Body Text Indent"/>
    <w:basedOn w:val="Normal"/>
    <w:link w:val="BodyTextIndentChar"/>
    <w:uiPriority w:val="99"/>
    <w:semiHidden/>
    <w:unhideWhenUsed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Pr>
      <w:rFonts w:ascii="Times New Roman" w:hAnsi="Times New Roman"/>
      <w:sz w:val="24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pPr>
      <w:spacing w:after="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</w:style>
  <w:style w:type="paragraph" w:styleId="BodyTextIndent2">
    <w:name w:val="Body Text Indent 2"/>
    <w:basedOn w:val="Normal"/>
    <w:link w:val="BodyTextIndent2Char"/>
    <w:uiPriority w:val="99"/>
    <w:semiHidden/>
    <w:unhideWhenUsed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Pr>
      <w:rFonts w:ascii="Times New Roman" w:hAnsi="Times New Roman"/>
      <w:sz w:val="24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Pr>
      <w:rFonts w:ascii="Times New Roman" w:hAnsi="Times New Roman"/>
      <w:sz w:val="16"/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Pr>
      <w:b/>
      <w:bCs/>
      <w:smallCaps/>
      <w:spacing w:val="5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Pr>
      <w:b/>
      <w:bCs/>
    </w:rPr>
  </w:style>
  <w:style w:type="paragraph" w:styleId="Date">
    <w:name w:val="Date"/>
    <w:basedOn w:val="Normal"/>
    <w:next w:val="Normal"/>
    <w:link w:val="DateChar"/>
  </w:style>
  <w:style w:type="character" w:customStyle="1" w:styleId="DateChar">
    <w:name w:val="Date Char"/>
    <w:basedOn w:val="DefaultParagraphFont"/>
    <w:link w:val="Date"/>
    <w:rPr>
      <w:rFonts w:ascii="Times New Roman" w:hAnsi="Times New Roman"/>
      <w:sz w:val="24"/>
    </w:rPr>
  </w:style>
  <w:style w:type="paragraph" w:styleId="DocumentMap">
    <w:name w:val="Document Map"/>
    <w:basedOn w:val="Normal"/>
    <w:link w:val="DocumentMapChar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Pr>
      <w:rFonts w:ascii="Tahoma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Pr>
      <w:rFonts w:ascii="Times New Roman" w:hAnsi="Times New Roman"/>
      <w:sz w:val="24"/>
    </w:rPr>
  </w:style>
  <w:style w:type="character" w:styleId="EndnoteReference">
    <w:name w:val="endnote reference"/>
    <w:basedOn w:val="DefaultParagraphFont"/>
    <w:uiPriority w:val="99"/>
    <w:semiHidden/>
    <w:unhideWhenUsed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Pr>
      <w:rFonts w:ascii="Times New Roman" w:hAnsi="Times New Roman"/>
      <w:sz w:val="20"/>
      <w:szCs w:val="20"/>
    </w:rPr>
  </w:style>
  <w:style w:type="paragraph" w:styleId="EnvelopeAddress">
    <w:name w:val="envelope address"/>
    <w:basedOn w:val="Normal"/>
    <w:uiPriority w:val="99"/>
    <w:semiHidden/>
    <w:unhideWhenUsed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</w:rPr>
  </w:style>
  <w:style w:type="paragraph" w:styleId="EnvelopeReturn">
    <w:name w:val="envelope return"/>
    <w:basedOn w:val="Normal"/>
    <w:uiPriority w:val="99"/>
    <w:semiHidden/>
    <w:unhideWhenUsed/>
    <w:rPr>
      <w:rFonts w:asciiTheme="majorHAnsi" w:eastAsiaTheme="majorEastAsia" w:hAnsiTheme="majorHAnsi" w:cstheme="majorBidi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Pr>
      <w:color w:val="800080" w:themeColor="followedHyperlink"/>
      <w:u w:val="single"/>
    </w:rPr>
  </w:style>
  <w:style w:type="character" w:styleId="HTMLAcronym">
    <w:name w:val="HTML Acronym"/>
    <w:basedOn w:val="DefaultParagraphFont"/>
    <w:uiPriority w:val="99"/>
    <w:semiHidden/>
    <w:unhideWhenUsed/>
  </w:style>
  <w:style w:type="paragraph" w:styleId="HTMLAddress">
    <w:name w:val="HTML Address"/>
    <w:basedOn w:val="Normal"/>
    <w:link w:val="HTMLAddressChar"/>
    <w:uiPriority w:val="99"/>
    <w:semiHidden/>
    <w:unhideWhenUsed/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Pr>
      <w:rFonts w:ascii="Times New Roman" w:hAnsi="Times New Roman"/>
      <w:i/>
      <w:iCs/>
      <w:sz w:val="24"/>
    </w:rPr>
  </w:style>
  <w:style w:type="character" w:styleId="HTMLCite">
    <w:name w:val="HTML Cite"/>
    <w:basedOn w:val="DefaultParagraphFont"/>
    <w:uiPriority w:val="99"/>
    <w:semiHidden/>
    <w:unhideWhenUsed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Pr>
      <w:rFonts w:ascii="Consolas" w:hAnsi="Consolas" w:cs="Consolas"/>
      <w:sz w:val="20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Pr>
      <w:rFonts w:ascii="Consolas" w:hAnsi="Consolas" w:cs="Consolas"/>
      <w:sz w:val="20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Pr>
      <w:rFonts w:ascii="Consolas" w:hAnsi="Consolas" w:cs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Pr>
      <w:rFonts w:ascii="Consolas" w:hAnsi="Consolas" w:cs="Consolas"/>
      <w:sz w:val="20"/>
      <w:szCs w:val="20"/>
    </w:rPr>
  </w:style>
  <w:style w:type="character" w:styleId="HTMLSample">
    <w:name w:val="HTML Sample"/>
    <w:basedOn w:val="DefaultParagraphFont"/>
    <w:uiPriority w:val="99"/>
    <w:semiHidden/>
    <w:unhideWhenUsed/>
    <w:rPr>
      <w:rFonts w:ascii="Consolas" w:hAnsi="Consolas" w:cs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Pr>
      <w:rFonts w:ascii="Consolas" w:hAnsi="Consolas" w:cs="Consolas"/>
      <w:sz w:val="20"/>
      <w:szCs w:val="20"/>
    </w:rPr>
  </w:style>
  <w:style w:type="character" w:styleId="HTMLVariable">
    <w:name w:val="HTML Variable"/>
    <w:basedOn w:val="DefaultParagraphFont"/>
    <w:uiPriority w:val="99"/>
    <w:semiHidden/>
    <w:unhideWhenUsed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pPr>
      <w:ind w:left="240" w:hanging="240"/>
    </w:pPr>
  </w:style>
  <w:style w:type="paragraph" w:styleId="Index2">
    <w:name w:val="index 2"/>
    <w:basedOn w:val="Normal"/>
    <w:next w:val="Normal"/>
    <w:autoRedefine/>
    <w:uiPriority w:val="99"/>
    <w:semiHidden/>
    <w:unhideWhenUsed/>
    <w:pPr>
      <w:ind w:left="480" w:hanging="240"/>
    </w:pPr>
  </w:style>
  <w:style w:type="paragraph" w:styleId="Index3">
    <w:name w:val="index 3"/>
    <w:basedOn w:val="Normal"/>
    <w:next w:val="Normal"/>
    <w:autoRedefine/>
    <w:uiPriority w:val="99"/>
    <w:semiHidden/>
    <w:unhideWhenUsed/>
    <w:pPr>
      <w:ind w:left="720" w:hanging="240"/>
    </w:pPr>
  </w:style>
  <w:style w:type="paragraph" w:styleId="Index4">
    <w:name w:val="index 4"/>
    <w:basedOn w:val="Normal"/>
    <w:next w:val="Normal"/>
    <w:autoRedefine/>
    <w:uiPriority w:val="99"/>
    <w:semiHidden/>
    <w:unhideWhenUsed/>
    <w:pPr>
      <w:ind w:left="960" w:hanging="240"/>
    </w:pPr>
  </w:style>
  <w:style w:type="paragraph" w:styleId="Index5">
    <w:name w:val="index 5"/>
    <w:basedOn w:val="Normal"/>
    <w:next w:val="Normal"/>
    <w:autoRedefine/>
    <w:uiPriority w:val="99"/>
    <w:semiHidden/>
    <w:unhideWhenUsed/>
    <w:pPr>
      <w:ind w:left="1200" w:hanging="240"/>
    </w:pPr>
  </w:style>
  <w:style w:type="paragraph" w:styleId="Index6">
    <w:name w:val="index 6"/>
    <w:basedOn w:val="Normal"/>
    <w:next w:val="Normal"/>
    <w:autoRedefine/>
    <w:uiPriority w:val="99"/>
    <w:semiHidden/>
    <w:unhideWhenUsed/>
    <w:pPr>
      <w:ind w:left="1440" w:hanging="240"/>
    </w:pPr>
  </w:style>
  <w:style w:type="paragraph" w:styleId="Index7">
    <w:name w:val="index 7"/>
    <w:basedOn w:val="Normal"/>
    <w:next w:val="Normal"/>
    <w:autoRedefine/>
    <w:uiPriority w:val="99"/>
    <w:semiHidden/>
    <w:unhideWhenUsed/>
    <w:pPr>
      <w:ind w:left="1680" w:hanging="240"/>
    </w:pPr>
  </w:style>
  <w:style w:type="paragraph" w:styleId="Index8">
    <w:name w:val="index 8"/>
    <w:basedOn w:val="Normal"/>
    <w:next w:val="Normal"/>
    <w:autoRedefine/>
    <w:uiPriority w:val="99"/>
    <w:semiHidden/>
    <w:unhideWhenUsed/>
    <w:pPr>
      <w:ind w:left="1920" w:hanging="240"/>
    </w:pPr>
  </w:style>
  <w:style w:type="paragraph" w:styleId="Index9">
    <w:name w:val="index 9"/>
    <w:basedOn w:val="Normal"/>
    <w:next w:val="Normal"/>
    <w:autoRedefine/>
    <w:uiPriority w:val="99"/>
    <w:semiHidden/>
    <w:unhideWhenUsed/>
    <w:pPr>
      <w:ind w:left="2160" w:hanging="240"/>
    </w:pPr>
  </w:style>
  <w:style w:type="paragraph" w:styleId="IndexHeading">
    <w:name w:val="index heading"/>
    <w:basedOn w:val="Normal"/>
    <w:next w:val="Index1"/>
    <w:uiPriority w:val="99"/>
    <w:semiHidden/>
    <w:unhideWhenUsed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b/>
      <w:bCs/>
      <w:i/>
      <w:iCs/>
      <w:color w:val="4F81BD" w:themeColor="accent1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rFonts w:ascii="Times New Roman" w:hAnsi="Times New Roman"/>
      <w:b/>
      <w:bCs/>
      <w:i/>
      <w:iCs/>
      <w:color w:val="4F81BD" w:themeColor="accent1"/>
      <w:sz w:val="24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smallCaps/>
      <w:color w:val="C0504D" w:themeColor="accent2"/>
      <w:spacing w:val="5"/>
      <w:u w:val="single"/>
    </w:rPr>
  </w:style>
  <w:style w:type="character" w:styleId="LineNumber">
    <w:name w:val="line number"/>
    <w:basedOn w:val="DefaultParagraphFont"/>
    <w:uiPriority w:val="99"/>
    <w:semiHidden/>
    <w:unhideWhenUsed/>
  </w:style>
  <w:style w:type="paragraph" w:styleId="List">
    <w:name w:val="List"/>
    <w:basedOn w:val="Normal"/>
    <w:uiPriority w:val="99"/>
    <w:semiHidden/>
    <w:unhideWhenUsed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pPr>
      <w:ind w:left="1800" w:hanging="360"/>
      <w:contextualSpacing/>
    </w:pPr>
  </w:style>
  <w:style w:type="paragraph" w:styleId="ListBullet2">
    <w:name w:val="List Bullet 2"/>
    <w:basedOn w:val="Normal"/>
    <w:uiPriority w:val="99"/>
    <w:semiHidden/>
    <w:unhideWhenUsed/>
    <w:pPr>
      <w:numPr>
        <w:numId w:val="2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pPr>
      <w:numPr>
        <w:numId w:val="2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pPr>
      <w:numPr>
        <w:numId w:val="2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pPr>
      <w:numPr>
        <w:numId w:val="2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pPr>
      <w:numPr>
        <w:numId w:val="2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pPr>
      <w:numPr>
        <w:numId w:val="2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pPr>
      <w:numPr>
        <w:numId w:val="2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pPr>
      <w:numPr>
        <w:numId w:val="2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pPr>
      <w:numPr>
        <w:numId w:val="30"/>
      </w:numPr>
      <w:contextualSpacing/>
    </w:pPr>
  </w:style>
  <w:style w:type="paragraph" w:styleId="ListParagraph">
    <w:name w:val="List Paragraph"/>
    <w:basedOn w:val="Normal"/>
    <w:uiPriority w:val="34"/>
    <w:semiHidden/>
    <w:unhideWhenUsed/>
    <w:qFormat/>
    <w:pPr>
      <w:ind w:left="720"/>
      <w:contextualSpacing/>
    </w:pPr>
  </w:style>
  <w:style w:type="paragraph" w:styleId="MacroText">
    <w:name w:val="macro"/>
    <w:link w:val="MacroTextChar"/>
    <w:uiPriority w:val="99"/>
    <w:semiHidden/>
    <w:unhideWhenUsed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240" w:lineRule="auto"/>
    </w:pPr>
    <w:rPr>
      <w:rFonts w:ascii="Consolas" w:hAnsi="Consolas" w:cs="Consolas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Pr>
      <w:rFonts w:ascii="Consolas" w:hAnsi="Consolas" w:cs="Consolas"/>
      <w:sz w:val="20"/>
      <w:szCs w:val="20"/>
    </w:rPr>
  </w:style>
  <w:style w:type="paragraph" w:styleId="NoSpacing">
    <w:name w:val="No Spacing"/>
    <w:uiPriority w:val="1"/>
    <w:semiHidden/>
    <w:unhideWhenUsed/>
    <w:pPr>
      <w:spacing w:after="0" w:line="240" w:lineRule="auto"/>
    </w:pPr>
    <w:rPr>
      <w:rFonts w:ascii="Times New Roman" w:hAnsi="Times New Roman"/>
      <w:sz w:val="24"/>
    </w:rPr>
  </w:style>
  <w:style w:type="paragraph" w:styleId="NormalWeb">
    <w:name w:val="Normal (Web)"/>
    <w:basedOn w:val="Normal"/>
    <w:uiPriority w:val="99"/>
    <w:unhideWhenUsed/>
  </w:style>
  <w:style w:type="paragraph" w:styleId="NormalIndent">
    <w:name w:val="Normal Indent"/>
    <w:basedOn w:val="Normal"/>
    <w:uiPriority w:val="99"/>
    <w:semiHidden/>
    <w:unhideWhenUsed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</w:style>
  <w:style w:type="character" w:customStyle="1" w:styleId="NoteHeadingChar">
    <w:name w:val="Note Heading Char"/>
    <w:basedOn w:val="DefaultParagraphFont"/>
    <w:link w:val="NoteHeading"/>
    <w:uiPriority w:val="99"/>
    <w:semiHidden/>
    <w:rPr>
      <w:rFonts w:ascii="Times New Roman" w:hAnsi="Times New Roman"/>
      <w:sz w:val="24"/>
    </w:rPr>
  </w:style>
  <w:style w:type="character" w:styleId="PageNumber">
    <w:name w:val="page number"/>
    <w:basedOn w:val="DefaultParagraphFon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PlainText">
    <w:name w:val="Plain Text"/>
    <w:basedOn w:val="Normal"/>
    <w:link w:val="PlainTextChar"/>
    <w:uiPriority w:val="99"/>
    <w:unhideWhenUsed/>
    <w:rPr>
      <w:rFonts w:ascii="Consolas" w:hAnsi="Consolas" w:cs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nsolas" w:hAnsi="Consolas" w:cs="Consolas"/>
      <w:sz w:val="21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semiHidden/>
    <w:rPr>
      <w:rFonts w:ascii="Times New Roman" w:hAnsi="Times New Roman"/>
      <w:i/>
      <w:iCs/>
      <w:color w:val="000000" w:themeColor="text1"/>
      <w:sz w:val="24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</w:style>
  <w:style w:type="character" w:customStyle="1" w:styleId="SalutationChar">
    <w:name w:val="Salutation Char"/>
    <w:basedOn w:val="DefaultParagraphFont"/>
    <w:link w:val="Salutation"/>
    <w:uiPriority w:val="99"/>
    <w:semiHidden/>
    <w:rPr>
      <w:rFonts w:ascii="Times New Roman" w:hAnsi="Times New Roman"/>
      <w:sz w:val="24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808080" w:themeColor="text1" w:themeTint="7F"/>
    </w:rPr>
  </w:style>
  <w:style w:type="character" w:styleId="SubtleReference">
    <w:name w:val="Subtle Reference"/>
    <w:basedOn w:val="DefaultParagraphFont"/>
    <w:uiPriority w:val="31"/>
    <w:semiHidden/>
    <w:unhideWhenUsed/>
    <w:qFormat/>
    <w:rPr>
      <w:smallCaps/>
      <w:color w:val="C0504D" w:themeColor="accent2"/>
      <w:u w:val="single"/>
    </w:rPr>
  </w:style>
  <w:style w:type="paragraph" w:styleId="TableofAuthorities">
    <w:name w:val="table of authorities"/>
    <w:basedOn w:val="Normal"/>
    <w:next w:val="Normal"/>
    <w:uiPriority w:val="99"/>
    <w:semiHidden/>
    <w:unhideWhenUsed/>
    <w:pPr>
      <w:ind w:left="240" w:hanging="240"/>
    </w:pPr>
  </w:style>
  <w:style w:type="paragraph" w:styleId="TableofFigures">
    <w:name w:val="table of figures"/>
    <w:basedOn w:val="Normal"/>
    <w:next w:val="Normal"/>
    <w:uiPriority w:val="99"/>
    <w:semiHidden/>
    <w:unhideWhenUsed/>
  </w:style>
  <w:style w:type="paragraph" w:styleId="TOAHeading">
    <w:name w:val="toa heading"/>
    <w:basedOn w:val="Normal"/>
    <w:next w:val="Normal"/>
    <w:uiPriority w:val="99"/>
    <w:semiHidden/>
    <w:unhideWhenUsed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TOC1">
    <w:name w:val="toc 1"/>
    <w:basedOn w:val="Normal"/>
    <w:next w:val="Normal"/>
    <w:autoRedefine/>
    <w:uiPriority w:val="39"/>
    <w:semiHidden/>
    <w:unhideWhenUsed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semiHidden/>
    <w:unhideWhenUsed/>
    <w:pPr>
      <w:spacing w:after="100"/>
      <w:ind w:left="480"/>
    </w:pPr>
  </w:style>
  <w:style w:type="paragraph" w:styleId="TOC4">
    <w:name w:val="toc 4"/>
    <w:basedOn w:val="Normal"/>
    <w:next w:val="Normal"/>
    <w:autoRedefine/>
    <w:uiPriority w:val="39"/>
    <w:semiHidden/>
    <w:unhideWhenUsed/>
    <w:pPr>
      <w:spacing w:after="100"/>
      <w:ind w:left="720"/>
    </w:pPr>
  </w:style>
  <w:style w:type="paragraph" w:styleId="TOC5">
    <w:name w:val="toc 5"/>
    <w:basedOn w:val="Normal"/>
    <w:next w:val="Normal"/>
    <w:autoRedefine/>
    <w:uiPriority w:val="39"/>
    <w:semiHidden/>
    <w:unhideWhenUsed/>
    <w:pPr>
      <w:spacing w:after="100"/>
      <w:ind w:left="960"/>
    </w:pPr>
  </w:style>
  <w:style w:type="paragraph" w:styleId="TOC6">
    <w:name w:val="toc 6"/>
    <w:basedOn w:val="Normal"/>
    <w:next w:val="Normal"/>
    <w:autoRedefine/>
    <w:uiPriority w:val="39"/>
    <w:semiHidden/>
    <w:unhideWhenUsed/>
    <w:pPr>
      <w:spacing w:after="100"/>
      <w:ind w:left="1200"/>
    </w:pPr>
  </w:style>
  <w:style w:type="paragraph" w:styleId="TOC7">
    <w:name w:val="toc 7"/>
    <w:basedOn w:val="Normal"/>
    <w:next w:val="Normal"/>
    <w:autoRedefine/>
    <w:uiPriority w:val="39"/>
    <w:semiHidden/>
    <w:unhideWhenUsed/>
    <w:pPr>
      <w:spacing w:after="100"/>
      <w:ind w:left="1440"/>
    </w:pPr>
  </w:style>
  <w:style w:type="paragraph" w:styleId="TOC8">
    <w:name w:val="toc 8"/>
    <w:basedOn w:val="Normal"/>
    <w:next w:val="Normal"/>
    <w:autoRedefine/>
    <w:uiPriority w:val="39"/>
    <w:semiHidden/>
    <w:unhideWhenUsed/>
    <w:pPr>
      <w:spacing w:after="100"/>
      <w:ind w:left="1680"/>
    </w:pPr>
  </w:style>
  <w:style w:type="paragraph" w:styleId="TOC9">
    <w:name w:val="toc 9"/>
    <w:basedOn w:val="Normal"/>
    <w:next w:val="Normal"/>
    <w:autoRedefine/>
    <w:uiPriority w:val="39"/>
    <w:semiHidden/>
    <w:unhideWhenUsed/>
    <w:pPr>
      <w:spacing w:after="100"/>
      <w:ind w:left="1920"/>
    </w:pPr>
  </w:style>
  <w:style w:type="character" w:customStyle="1" w:styleId="PlainTextChar1">
    <w:name w:val="Plain Text Char1"/>
    <w:basedOn w:val="DefaultParagraphFont"/>
    <w:uiPriority w:val="99"/>
    <w:locked/>
    <w:rPr>
      <w:rFonts w:ascii="Consolas" w:hAnsi="Consolas"/>
      <w:sz w:val="20"/>
      <w:szCs w:val="20"/>
    </w:rPr>
  </w:style>
  <w:style w:type="paragraph" w:customStyle="1" w:styleId="Default">
    <w:name w:val="Default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4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819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87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11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76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95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9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6043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8143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6058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500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989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152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085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64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524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11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75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422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69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07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92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72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71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966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1670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0012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42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783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08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95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94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057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49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287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849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19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6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575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97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7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33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14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80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63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63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569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6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48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739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819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61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24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42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0884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0194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4090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1512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255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50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87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80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007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214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949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1460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5327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87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636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479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50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22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174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382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08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626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732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53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661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70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277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7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33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3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17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488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510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92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75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35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95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93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13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.emf"/><Relationship Id="rId117" Type="http://schemas.openxmlformats.org/officeDocument/2006/relationships/oleObject" Target="embeddings/oleObject30.bin"/><Relationship Id="rId21" Type="http://schemas.openxmlformats.org/officeDocument/2006/relationships/header" Target="header8.xml"/><Relationship Id="rId42" Type="http://schemas.openxmlformats.org/officeDocument/2006/relationships/image" Target="media/image10.emf"/><Relationship Id="rId47" Type="http://schemas.openxmlformats.org/officeDocument/2006/relationships/oleObject" Target="embeddings/oleObject10.bin"/><Relationship Id="rId63" Type="http://schemas.openxmlformats.org/officeDocument/2006/relationships/package" Target="embeddings/Microsoft_Office_Word_Document4.docx"/><Relationship Id="rId68" Type="http://schemas.openxmlformats.org/officeDocument/2006/relationships/image" Target="media/image23.emf"/><Relationship Id="rId84" Type="http://schemas.openxmlformats.org/officeDocument/2006/relationships/image" Target="media/image31.emf"/><Relationship Id="rId89" Type="http://schemas.openxmlformats.org/officeDocument/2006/relationships/oleObject" Target="embeddings/oleObject20.bin"/><Relationship Id="rId112" Type="http://schemas.openxmlformats.org/officeDocument/2006/relationships/image" Target="media/image45.emf"/><Relationship Id="rId133" Type="http://schemas.openxmlformats.org/officeDocument/2006/relationships/oleObject" Target="embeddings/oleObject38.bin"/><Relationship Id="rId138" Type="http://schemas.openxmlformats.org/officeDocument/2006/relationships/image" Target="media/image58.emf"/><Relationship Id="rId16" Type="http://schemas.openxmlformats.org/officeDocument/2006/relationships/footer" Target="footer4.xml"/><Relationship Id="rId107" Type="http://schemas.openxmlformats.org/officeDocument/2006/relationships/package" Target="embeddings/Microsoft_Office_Word_Document9.docx"/><Relationship Id="rId11" Type="http://schemas.openxmlformats.org/officeDocument/2006/relationships/footer" Target="footer2.xml"/><Relationship Id="rId32" Type="http://schemas.openxmlformats.org/officeDocument/2006/relationships/image" Target="media/image5.emf"/><Relationship Id="rId37" Type="http://schemas.openxmlformats.org/officeDocument/2006/relationships/oleObject" Target="embeddings/oleObject6.bin"/><Relationship Id="rId53" Type="http://schemas.openxmlformats.org/officeDocument/2006/relationships/oleObject" Target="embeddings/oleObject11.bin"/><Relationship Id="rId58" Type="http://schemas.openxmlformats.org/officeDocument/2006/relationships/image" Target="media/image18.emf"/><Relationship Id="rId74" Type="http://schemas.openxmlformats.org/officeDocument/2006/relationships/image" Target="media/image26.emf"/><Relationship Id="rId79" Type="http://schemas.openxmlformats.org/officeDocument/2006/relationships/oleObject" Target="embeddings/Microsoft_Office_Word_97_-_2003_Document4.doc"/><Relationship Id="rId102" Type="http://schemas.openxmlformats.org/officeDocument/2006/relationships/image" Target="media/image40.emf"/><Relationship Id="rId123" Type="http://schemas.openxmlformats.org/officeDocument/2006/relationships/oleObject" Target="embeddings/oleObject33.bin"/><Relationship Id="rId128" Type="http://schemas.openxmlformats.org/officeDocument/2006/relationships/image" Target="media/image53.emf"/><Relationship Id="rId5" Type="http://schemas.openxmlformats.org/officeDocument/2006/relationships/webSettings" Target="webSettings.xml"/><Relationship Id="rId90" Type="http://schemas.openxmlformats.org/officeDocument/2006/relationships/image" Target="media/image34.emf"/><Relationship Id="rId95" Type="http://schemas.openxmlformats.org/officeDocument/2006/relationships/oleObject" Target="embeddings/oleObject21.bin"/><Relationship Id="rId22" Type="http://schemas.openxmlformats.org/officeDocument/2006/relationships/footer" Target="footer7.xml"/><Relationship Id="rId27" Type="http://schemas.openxmlformats.org/officeDocument/2006/relationships/oleObject" Target="embeddings/oleObject2.bin"/><Relationship Id="rId43" Type="http://schemas.openxmlformats.org/officeDocument/2006/relationships/oleObject" Target="embeddings/oleObject9.bin"/><Relationship Id="rId48" Type="http://schemas.openxmlformats.org/officeDocument/2006/relationships/image" Target="media/image13.emf"/><Relationship Id="rId64" Type="http://schemas.openxmlformats.org/officeDocument/2006/relationships/image" Target="media/image21.emf"/><Relationship Id="rId69" Type="http://schemas.openxmlformats.org/officeDocument/2006/relationships/package" Target="embeddings/Microsoft_Office_Word_Document5.docx"/><Relationship Id="rId113" Type="http://schemas.openxmlformats.org/officeDocument/2006/relationships/oleObject" Target="embeddings/oleObject28.bin"/><Relationship Id="rId118" Type="http://schemas.openxmlformats.org/officeDocument/2006/relationships/image" Target="media/image48.emf"/><Relationship Id="rId134" Type="http://schemas.openxmlformats.org/officeDocument/2006/relationships/image" Target="media/image56.emf"/><Relationship Id="rId139" Type="http://schemas.openxmlformats.org/officeDocument/2006/relationships/package" Target="embeddings/Microsoft_Office_Word_Document11.docx"/><Relationship Id="rId8" Type="http://schemas.openxmlformats.org/officeDocument/2006/relationships/header" Target="header1.xml"/><Relationship Id="rId51" Type="http://schemas.openxmlformats.org/officeDocument/2006/relationships/package" Target="embeddings/Microsoft_Office_Word_Document3.docx"/><Relationship Id="rId72" Type="http://schemas.openxmlformats.org/officeDocument/2006/relationships/image" Target="media/image25.emf"/><Relationship Id="rId80" Type="http://schemas.openxmlformats.org/officeDocument/2006/relationships/image" Target="media/image29.emf"/><Relationship Id="rId85" Type="http://schemas.openxmlformats.org/officeDocument/2006/relationships/package" Target="embeddings/Microsoft_Office_Word_Document6.docx"/><Relationship Id="rId93" Type="http://schemas.openxmlformats.org/officeDocument/2006/relationships/package" Target="embeddings/Microsoft_Office_Word_Document7.docx"/><Relationship Id="rId98" Type="http://schemas.openxmlformats.org/officeDocument/2006/relationships/image" Target="media/image38.emf"/><Relationship Id="rId121" Type="http://schemas.openxmlformats.org/officeDocument/2006/relationships/oleObject" Target="embeddings/oleObject32.bin"/><Relationship Id="rId14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eader" Target="header3.xml"/><Relationship Id="rId17" Type="http://schemas.openxmlformats.org/officeDocument/2006/relationships/footer" Target="footer5.xml"/><Relationship Id="rId25" Type="http://schemas.openxmlformats.org/officeDocument/2006/relationships/oleObject" Target="embeddings/oleObject1.bin"/><Relationship Id="rId33" Type="http://schemas.openxmlformats.org/officeDocument/2006/relationships/package" Target="embeddings/Microsoft_Office_Word_Document1.docx"/><Relationship Id="rId38" Type="http://schemas.openxmlformats.org/officeDocument/2006/relationships/image" Target="media/image8.emf"/><Relationship Id="rId46" Type="http://schemas.openxmlformats.org/officeDocument/2006/relationships/image" Target="media/image12.emf"/><Relationship Id="rId59" Type="http://schemas.openxmlformats.org/officeDocument/2006/relationships/oleObject" Target="embeddings/oleObject14.bin"/><Relationship Id="rId67" Type="http://schemas.openxmlformats.org/officeDocument/2006/relationships/oleObject" Target="embeddings/oleObject17.bin"/><Relationship Id="rId103" Type="http://schemas.openxmlformats.org/officeDocument/2006/relationships/oleObject" Target="embeddings/oleObject25.bin"/><Relationship Id="rId108" Type="http://schemas.openxmlformats.org/officeDocument/2006/relationships/image" Target="media/image43.emf"/><Relationship Id="rId116" Type="http://schemas.openxmlformats.org/officeDocument/2006/relationships/image" Target="media/image47.emf"/><Relationship Id="rId124" Type="http://schemas.openxmlformats.org/officeDocument/2006/relationships/image" Target="media/image51.emf"/><Relationship Id="rId129" Type="http://schemas.openxmlformats.org/officeDocument/2006/relationships/oleObject" Target="embeddings/oleObject36.bin"/><Relationship Id="rId137" Type="http://schemas.openxmlformats.org/officeDocument/2006/relationships/package" Target="embeddings/Microsoft_Office_Word_Document10.docx"/><Relationship Id="rId20" Type="http://schemas.openxmlformats.org/officeDocument/2006/relationships/header" Target="header7.xml"/><Relationship Id="rId41" Type="http://schemas.openxmlformats.org/officeDocument/2006/relationships/oleObject" Target="embeddings/oleObject8.bin"/><Relationship Id="rId54" Type="http://schemas.openxmlformats.org/officeDocument/2006/relationships/image" Target="media/image16.emf"/><Relationship Id="rId62" Type="http://schemas.openxmlformats.org/officeDocument/2006/relationships/image" Target="media/image20.emf"/><Relationship Id="rId70" Type="http://schemas.openxmlformats.org/officeDocument/2006/relationships/image" Target="media/image24.emf"/><Relationship Id="rId75" Type="http://schemas.openxmlformats.org/officeDocument/2006/relationships/oleObject" Target="embeddings/Microsoft_Office_Word_97_-_2003_Document2.doc"/><Relationship Id="rId83" Type="http://schemas.openxmlformats.org/officeDocument/2006/relationships/oleObject" Target="embeddings/Microsoft_Office_Word_97_-_2003_Document6.doc"/><Relationship Id="rId88" Type="http://schemas.openxmlformats.org/officeDocument/2006/relationships/image" Target="media/image33.emf"/><Relationship Id="rId91" Type="http://schemas.openxmlformats.org/officeDocument/2006/relationships/oleObject" Target="embeddings/Microsoft_Office_PowerPoint_97-2003_Presentation8.ppt"/><Relationship Id="rId96" Type="http://schemas.openxmlformats.org/officeDocument/2006/relationships/image" Target="media/image37.emf"/><Relationship Id="rId111" Type="http://schemas.openxmlformats.org/officeDocument/2006/relationships/oleObject" Target="embeddings/oleObject27.bin"/><Relationship Id="rId132" Type="http://schemas.openxmlformats.org/officeDocument/2006/relationships/image" Target="media/image55.emf"/><Relationship Id="rId140" Type="http://schemas.openxmlformats.org/officeDocument/2006/relationships/image" Target="media/image59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5.xml"/><Relationship Id="rId23" Type="http://schemas.openxmlformats.org/officeDocument/2006/relationships/footer" Target="footer8.xml"/><Relationship Id="rId28" Type="http://schemas.openxmlformats.org/officeDocument/2006/relationships/image" Target="media/image3.emf"/><Relationship Id="rId36" Type="http://schemas.openxmlformats.org/officeDocument/2006/relationships/image" Target="media/image7.emf"/><Relationship Id="rId49" Type="http://schemas.openxmlformats.org/officeDocument/2006/relationships/package" Target="embeddings/Microsoft_Office_Word_Document2.docx"/><Relationship Id="rId57" Type="http://schemas.openxmlformats.org/officeDocument/2006/relationships/oleObject" Target="embeddings/oleObject13.bin"/><Relationship Id="rId106" Type="http://schemas.openxmlformats.org/officeDocument/2006/relationships/image" Target="media/image42.emf"/><Relationship Id="rId114" Type="http://schemas.openxmlformats.org/officeDocument/2006/relationships/image" Target="media/image46.emf"/><Relationship Id="rId119" Type="http://schemas.openxmlformats.org/officeDocument/2006/relationships/oleObject" Target="embeddings/oleObject31.bin"/><Relationship Id="rId127" Type="http://schemas.openxmlformats.org/officeDocument/2006/relationships/oleObject" Target="embeddings/oleObject35.bin"/><Relationship Id="rId10" Type="http://schemas.openxmlformats.org/officeDocument/2006/relationships/footer" Target="footer1.xml"/><Relationship Id="rId31" Type="http://schemas.openxmlformats.org/officeDocument/2006/relationships/oleObject" Target="embeddings/oleObject4.bin"/><Relationship Id="rId44" Type="http://schemas.openxmlformats.org/officeDocument/2006/relationships/image" Target="media/image11.emf"/><Relationship Id="rId52" Type="http://schemas.openxmlformats.org/officeDocument/2006/relationships/image" Target="media/image15.emf"/><Relationship Id="rId60" Type="http://schemas.openxmlformats.org/officeDocument/2006/relationships/image" Target="media/image19.emf"/><Relationship Id="rId65" Type="http://schemas.openxmlformats.org/officeDocument/2006/relationships/oleObject" Target="embeddings/oleObject16.bin"/><Relationship Id="rId73" Type="http://schemas.openxmlformats.org/officeDocument/2006/relationships/oleObject" Target="embeddings/oleObject19.bin"/><Relationship Id="rId78" Type="http://schemas.openxmlformats.org/officeDocument/2006/relationships/image" Target="media/image28.emf"/><Relationship Id="rId81" Type="http://schemas.openxmlformats.org/officeDocument/2006/relationships/oleObject" Target="embeddings/Microsoft_Office_Word_97_-_2003_Document5.doc"/><Relationship Id="rId86" Type="http://schemas.openxmlformats.org/officeDocument/2006/relationships/image" Target="media/image32.emf"/><Relationship Id="rId94" Type="http://schemas.openxmlformats.org/officeDocument/2006/relationships/image" Target="media/image36.emf"/><Relationship Id="rId99" Type="http://schemas.openxmlformats.org/officeDocument/2006/relationships/oleObject" Target="embeddings/oleObject23.bin"/><Relationship Id="rId101" Type="http://schemas.openxmlformats.org/officeDocument/2006/relationships/oleObject" Target="embeddings/oleObject24.bin"/><Relationship Id="rId122" Type="http://schemas.openxmlformats.org/officeDocument/2006/relationships/image" Target="media/image50.emf"/><Relationship Id="rId130" Type="http://schemas.openxmlformats.org/officeDocument/2006/relationships/image" Target="media/image54.emf"/><Relationship Id="rId135" Type="http://schemas.openxmlformats.org/officeDocument/2006/relationships/oleObject" Target="embeddings/oleObject39.bin"/><Relationship Id="rId14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3" Type="http://schemas.openxmlformats.org/officeDocument/2006/relationships/footer" Target="footer3.xml"/><Relationship Id="rId18" Type="http://schemas.openxmlformats.org/officeDocument/2006/relationships/header" Target="header6.xml"/><Relationship Id="rId39" Type="http://schemas.openxmlformats.org/officeDocument/2006/relationships/oleObject" Target="embeddings/oleObject7.bin"/><Relationship Id="rId109" Type="http://schemas.openxmlformats.org/officeDocument/2006/relationships/oleObject" Target="embeddings/oleObject26.bin"/><Relationship Id="rId34" Type="http://schemas.openxmlformats.org/officeDocument/2006/relationships/image" Target="media/image6.emf"/><Relationship Id="rId50" Type="http://schemas.openxmlformats.org/officeDocument/2006/relationships/image" Target="media/image14.emf"/><Relationship Id="rId55" Type="http://schemas.openxmlformats.org/officeDocument/2006/relationships/oleObject" Target="embeddings/oleObject12.bin"/><Relationship Id="rId76" Type="http://schemas.openxmlformats.org/officeDocument/2006/relationships/image" Target="media/image27.emf"/><Relationship Id="rId97" Type="http://schemas.openxmlformats.org/officeDocument/2006/relationships/oleObject" Target="embeddings/oleObject22.bin"/><Relationship Id="rId104" Type="http://schemas.openxmlformats.org/officeDocument/2006/relationships/image" Target="media/image41.emf"/><Relationship Id="rId120" Type="http://schemas.openxmlformats.org/officeDocument/2006/relationships/image" Target="media/image49.emf"/><Relationship Id="rId125" Type="http://schemas.openxmlformats.org/officeDocument/2006/relationships/oleObject" Target="embeddings/oleObject34.bin"/><Relationship Id="rId141" Type="http://schemas.openxmlformats.org/officeDocument/2006/relationships/oleObject" Target="embeddings/oleObject40.bin"/><Relationship Id="rId7" Type="http://schemas.openxmlformats.org/officeDocument/2006/relationships/endnotes" Target="endnotes.xml"/><Relationship Id="rId71" Type="http://schemas.openxmlformats.org/officeDocument/2006/relationships/oleObject" Target="embeddings/oleObject18.bin"/><Relationship Id="rId92" Type="http://schemas.openxmlformats.org/officeDocument/2006/relationships/image" Target="media/image35.emf"/><Relationship Id="rId2" Type="http://schemas.openxmlformats.org/officeDocument/2006/relationships/numbering" Target="numbering.xml"/><Relationship Id="rId29" Type="http://schemas.openxmlformats.org/officeDocument/2006/relationships/oleObject" Target="embeddings/oleObject3.bin"/><Relationship Id="rId24" Type="http://schemas.openxmlformats.org/officeDocument/2006/relationships/image" Target="media/image1.emf"/><Relationship Id="rId40" Type="http://schemas.openxmlformats.org/officeDocument/2006/relationships/image" Target="media/image9.emf"/><Relationship Id="rId45" Type="http://schemas.openxmlformats.org/officeDocument/2006/relationships/oleObject" Target="embeddings/Microsoft_Office_Word_97_-_2003_Document1.doc"/><Relationship Id="rId66" Type="http://schemas.openxmlformats.org/officeDocument/2006/relationships/image" Target="media/image22.emf"/><Relationship Id="rId87" Type="http://schemas.openxmlformats.org/officeDocument/2006/relationships/oleObject" Target="embeddings/Microsoft_Office_Word_97_-_2003_Document7.doc"/><Relationship Id="rId110" Type="http://schemas.openxmlformats.org/officeDocument/2006/relationships/image" Target="media/image44.emf"/><Relationship Id="rId115" Type="http://schemas.openxmlformats.org/officeDocument/2006/relationships/oleObject" Target="embeddings/oleObject29.bin"/><Relationship Id="rId131" Type="http://schemas.openxmlformats.org/officeDocument/2006/relationships/oleObject" Target="embeddings/oleObject37.bin"/><Relationship Id="rId136" Type="http://schemas.openxmlformats.org/officeDocument/2006/relationships/image" Target="media/image57.emf"/><Relationship Id="rId61" Type="http://schemas.openxmlformats.org/officeDocument/2006/relationships/oleObject" Target="embeddings/oleObject15.bin"/><Relationship Id="rId82" Type="http://schemas.openxmlformats.org/officeDocument/2006/relationships/image" Target="media/image30.emf"/><Relationship Id="rId19" Type="http://schemas.openxmlformats.org/officeDocument/2006/relationships/footer" Target="footer6.xml"/><Relationship Id="rId14" Type="http://schemas.openxmlformats.org/officeDocument/2006/relationships/header" Target="header4.xml"/><Relationship Id="rId30" Type="http://schemas.openxmlformats.org/officeDocument/2006/relationships/image" Target="media/image4.emf"/><Relationship Id="rId35" Type="http://schemas.openxmlformats.org/officeDocument/2006/relationships/oleObject" Target="embeddings/oleObject5.bin"/><Relationship Id="rId56" Type="http://schemas.openxmlformats.org/officeDocument/2006/relationships/image" Target="media/image17.emf"/><Relationship Id="rId77" Type="http://schemas.openxmlformats.org/officeDocument/2006/relationships/oleObject" Target="embeddings/Microsoft_Office_Word_97_-_2003_Document3.doc"/><Relationship Id="rId100" Type="http://schemas.openxmlformats.org/officeDocument/2006/relationships/image" Target="media/image39.emf"/><Relationship Id="rId105" Type="http://schemas.openxmlformats.org/officeDocument/2006/relationships/package" Target="embeddings/Microsoft_Office_Word_Document8.docx"/><Relationship Id="rId126" Type="http://schemas.openxmlformats.org/officeDocument/2006/relationships/image" Target="media/image5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 Classic">
      <a:maj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F80283-F9F2-4CC4-9810-2BDDBE3C56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2078</Words>
  <Characters>11108</Characters>
  <Application>Microsoft Office Word</Application>
  <DocSecurity>0</DocSecurity>
  <Lines>701</Lines>
  <Paragraphs>316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A&amp;P</Company>
  <LinksUpToDate>false</LinksUpToDate>
  <CharactersWithSpaces>13016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kei5600</dc:creator>
  <cp:keywords/>
  <dc:description/>
  <cp:lastModifiedBy>kei5600</cp:lastModifiedBy>
  <cp:revision>2</cp:revision>
  <cp:lastPrinted>2014-10-13T19:51:00Z</cp:lastPrinted>
  <dcterms:created xsi:type="dcterms:W3CDTF">2014-10-14T14:10:00Z</dcterms:created>
  <dcterms:modified xsi:type="dcterms:W3CDTF">2014-10-14T14:10:00Z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ID">
    <vt:lpwstr>68707842v1</vt:lpwstr>
  </property>
  <property fmtid="{D5CDD505-2E9C-101B-9397-08002B2CF9AE}" pid="3" name="_AdHocReviewCycleID">
    <vt:i4>44554673</vt:i4>
  </property>
  <property fmtid="{D5CDD505-2E9C-101B-9397-08002B2CF9AE}" pid="4" name="_NewReviewCycle">
    <vt:lpwstr/>
  </property>
  <property fmtid="{D5CDD505-2E9C-101B-9397-08002B2CF9AE}" pid="5" name="_EmailSubject">
    <vt:lpwstr>BCABA - quick update to website</vt:lpwstr>
  </property>
  <property fmtid="{D5CDD505-2E9C-101B-9397-08002B2CF9AE}" pid="6" name="_AuthorEmail">
    <vt:lpwstr>Kristen.Ittig@aporter.com</vt:lpwstr>
  </property>
  <property fmtid="{D5CDD505-2E9C-101B-9397-08002B2CF9AE}" pid="7" name="_AuthorEmailDisplayName">
    <vt:lpwstr>Ittig, Kristen E.</vt:lpwstr>
  </property>
</Properties>
</file>